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35173335" w:displacedByCustomXml="next"/>
    <w:sdt>
      <w:sdtPr>
        <w:rPr>
          <w:rFonts w:eastAsiaTheme="minorEastAsia" w:cs="Times New Roman"/>
          <w:b w:val="0"/>
          <w:bCs w:val="0"/>
          <w:kern w:val="0"/>
          <w:sz w:val="24"/>
          <w:szCs w:val="24"/>
          <w:lang w:val="pl-PL" w:bidi="ar-SA"/>
        </w:rPr>
        <w:id w:val="392121641"/>
        <w:docPartObj>
          <w:docPartGallery w:val="Table of Contents"/>
          <w:docPartUnique/>
        </w:docPartObj>
      </w:sdtPr>
      <w:sdtEndPr>
        <w:rPr>
          <w:rFonts w:eastAsiaTheme="minorHAnsi" w:cstheme="minorBidi"/>
          <w:sz w:val="22"/>
          <w:szCs w:val="22"/>
        </w:rPr>
      </w:sdtEndPr>
      <w:sdtContent>
        <w:p w:rsidR="00015CA7" w:rsidRPr="00B55369" w:rsidRDefault="001B3664" w:rsidP="00176B37">
          <w:pPr>
            <w:pStyle w:val="Nagwekspisutreci"/>
            <w:spacing w:line="288" w:lineRule="auto"/>
            <w:jc w:val="both"/>
            <w:rPr>
              <w:b w:val="0"/>
            </w:rPr>
          </w:pPr>
          <w:r w:rsidRPr="00B55369">
            <w:rPr>
              <w:b w:val="0"/>
              <w:lang w:val="pl-PL"/>
            </w:rPr>
            <w:t>Spis treści</w:t>
          </w:r>
        </w:p>
        <w:p w:rsidR="003B1B09" w:rsidRPr="003B1B09" w:rsidRDefault="00483B75">
          <w:pPr>
            <w:pStyle w:val="Spistreci1"/>
            <w:tabs>
              <w:tab w:val="right" w:leader="dot" w:pos="9062"/>
            </w:tabs>
            <w:rPr>
              <w:rFonts w:cstheme="minorBidi"/>
              <w:noProof/>
              <w:sz w:val="20"/>
              <w:szCs w:val="20"/>
              <w:lang w:val="pl-PL" w:eastAsia="pl-PL" w:bidi="ar-SA"/>
            </w:rPr>
          </w:pPr>
          <w:r w:rsidRPr="00483B75">
            <w:rPr>
              <w:sz w:val="20"/>
              <w:szCs w:val="20"/>
              <w:lang w:val="pl-PL"/>
            </w:rPr>
            <w:fldChar w:fldCharType="begin"/>
          </w:r>
          <w:r w:rsidR="00015CA7" w:rsidRPr="003B1B09">
            <w:rPr>
              <w:sz w:val="20"/>
              <w:szCs w:val="20"/>
              <w:lang w:val="pl-PL"/>
            </w:rPr>
            <w:instrText xml:space="preserve"> TOC \o "1-4" \h \z \u </w:instrText>
          </w:r>
          <w:r w:rsidRPr="00483B75">
            <w:rPr>
              <w:sz w:val="20"/>
              <w:szCs w:val="20"/>
              <w:lang w:val="pl-PL"/>
            </w:rPr>
            <w:fldChar w:fldCharType="separate"/>
          </w:r>
          <w:hyperlink w:anchor="_Toc174128427" w:history="1">
            <w:r w:rsidR="003B1B09" w:rsidRPr="003B1B09">
              <w:rPr>
                <w:rStyle w:val="Hipercze"/>
                <w:noProof/>
                <w:sz w:val="20"/>
                <w:szCs w:val="20"/>
                <w:lang w:val="pl-PL"/>
              </w:rPr>
              <w:t>Opis techniczny</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_Toc174128427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28" w:history="1">
            <w:r w:rsidR="003B1B09" w:rsidRPr="003B1B09">
              <w:rPr>
                <w:rStyle w:val="Hipercze"/>
                <w:noProof/>
                <w:sz w:val="20"/>
                <w:szCs w:val="20"/>
                <w:lang w:val="pl-PL"/>
              </w:rPr>
              <w:t>1. Podstawa opracowania</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_Toc174128428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29" w:history="1">
            <w:r w:rsidR="003B1B09" w:rsidRPr="003B1B09">
              <w:rPr>
                <w:rStyle w:val="Hipercze"/>
                <w:noProof/>
                <w:sz w:val="20"/>
                <w:szCs w:val="20"/>
                <w:lang w:val="pl-PL"/>
              </w:rPr>
              <w:t>2. Zakres opracowania</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_Toc174128429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0" w:history="1">
            <w:r w:rsidR="003B1B09" w:rsidRPr="003B1B09">
              <w:rPr>
                <w:rStyle w:val="Hipercze"/>
                <w:noProof/>
                <w:sz w:val="20"/>
                <w:szCs w:val="20"/>
                <w:lang w:val="pl-PL"/>
              </w:rPr>
              <w:t>3. Charakterystyka obiektu</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_Toc174128430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3"/>
            <w:tabs>
              <w:tab w:val="right" w:leader="dot" w:pos="9062"/>
            </w:tabs>
            <w:rPr>
              <w:rFonts w:cstheme="minorBidi"/>
              <w:noProof/>
              <w:sz w:val="20"/>
              <w:szCs w:val="20"/>
              <w:lang w:val="pl-PL" w:eastAsia="pl-PL" w:bidi="ar-SA"/>
            </w:rPr>
          </w:pPr>
          <w:hyperlink w:anchor="_Toc174128431" w:history="1">
            <w:r w:rsidR="003B1B09" w:rsidRPr="003B1B09">
              <w:rPr>
                <w:rStyle w:val="Hipercze"/>
                <w:noProof/>
                <w:sz w:val="20"/>
                <w:szCs w:val="20"/>
              </w:rPr>
              <w:t>3.1.Dane ogólne</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_Toc174128431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3"/>
            <w:tabs>
              <w:tab w:val="right" w:leader="dot" w:pos="9062"/>
            </w:tabs>
            <w:rPr>
              <w:rFonts w:cstheme="minorBidi"/>
              <w:noProof/>
              <w:sz w:val="20"/>
              <w:szCs w:val="20"/>
              <w:lang w:val="pl-PL" w:eastAsia="pl-PL" w:bidi="ar-SA"/>
            </w:rPr>
          </w:pPr>
          <w:hyperlink w:anchor="_Toc174128432" w:history="1">
            <w:r w:rsidR="003B1B09" w:rsidRPr="003B1B09">
              <w:rPr>
                <w:rStyle w:val="Hipercze"/>
                <w:noProof/>
                <w:sz w:val="20"/>
                <w:szCs w:val="20"/>
              </w:rPr>
              <w:t>3.2. Rys historyczny</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_Toc174128432 \h </w:instrText>
            </w:r>
            <w:r w:rsidRPr="003B1B09">
              <w:rPr>
                <w:noProof/>
                <w:webHidden/>
                <w:sz w:val="20"/>
                <w:szCs w:val="20"/>
              </w:rPr>
            </w:r>
            <w:r w:rsidRPr="003B1B09">
              <w:rPr>
                <w:noProof/>
                <w:webHidden/>
                <w:sz w:val="20"/>
                <w:szCs w:val="20"/>
              </w:rPr>
              <w:fldChar w:fldCharType="separate"/>
            </w:r>
            <w:r w:rsidR="00903BD5">
              <w:rPr>
                <w:noProof/>
                <w:webHidden/>
                <w:sz w:val="20"/>
                <w:szCs w:val="20"/>
              </w:rPr>
              <w:t>4</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3" w:history="1">
            <w:r w:rsidR="003B1B09" w:rsidRPr="003B1B09">
              <w:rPr>
                <w:rStyle w:val="Hipercze"/>
                <w:noProof/>
                <w:sz w:val="20"/>
                <w:szCs w:val="20"/>
                <w:lang w:val="pl-PL"/>
              </w:rPr>
              <w:t>4. Oświetlenie awaryjne</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_Toc174128433 \h </w:instrText>
            </w:r>
            <w:r w:rsidRPr="003B1B09">
              <w:rPr>
                <w:noProof/>
                <w:webHidden/>
                <w:sz w:val="20"/>
                <w:szCs w:val="20"/>
              </w:rPr>
            </w:r>
            <w:r w:rsidRPr="003B1B09">
              <w:rPr>
                <w:noProof/>
                <w:webHidden/>
                <w:sz w:val="20"/>
                <w:szCs w:val="20"/>
              </w:rPr>
              <w:fldChar w:fldCharType="separate"/>
            </w:r>
            <w:r w:rsidR="00903BD5">
              <w:rPr>
                <w:noProof/>
                <w:webHidden/>
                <w:sz w:val="20"/>
                <w:szCs w:val="20"/>
              </w:rPr>
              <w:t>5</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4" w:history="1">
            <w:r w:rsidR="003B1B09" w:rsidRPr="003B1B09">
              <w:rPr>
                <w:rStyle w:val="Hipercze"/>
                <w:noProof/>
                <w:sz w:val="20"/>
                <w:szCs w:val="20"/>
                <w:lang w:val="pl-PL"/>
              </w:rPr>
              <w:t>4.1. Informacje ogólne</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_Toc174128434 \h </w:instrText>
            </w:r>
            <w:r w:rsidRPr="003B1B09">
              <w:rPr>
                <w:noProof/>
                <w:webHidden/>
                <w:sz w:val="20"/>
                <w:szCs w:val="20"/>
              </w:rPr>
            </w:r>
            <w:r w:rsidRPr="003B1B09">
              <w:rPr>
                <w:noProof/>
                <w:webHidden/>
                <w:sz w:val="20"/>
                <w:szCs w:val="20"/>
              </w:rPr>
              <w:fldChar w:fldCharType="separate"/>
            </w:r>
            <w:r w:rsidR="00903BD5">
              <w:rPr>
                <w:noProof/>
                <w:webHidden/>
                <w:sz w:val="20"/>
                <w:szCs w:val="20"/>
              </w:rPr>
              <w:t>5</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5" w:history="1">
            <w:r w:rsidR="003B1B09" w:rsidRPr="003B1B09">
              <w:rPr>
                <w:rStyle w:val="Hipercze"/>
                <w:noProof/>
                <w:sz w:val="20"/>
                <w:szCs w:val="20"/>
                <w:lang w:val="pl-PL"/>
              </w:rPr>
              <w:t>4.2 Oświetlenie dróg ewakuacji</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_Toc174128435 \h </w:instrText>
            </w:r>
            <w:r w:rsidRPr="003B1B09">
              <w:rPr>
                <w:noProof/>
                <w:webHidden/>
                <w:sz w:val="20"/>
                <w:szCs w:val="20"/>
              </w:rPr>
            </w:r>
            <w:r w:rsidRPr="003B1B09">
              <w:rPr>
                <w:noProof/>
                <w:webHidden/>
                <w:sz w:val="20"/>
                <w:szCs w:val="20"/>
              </w:rPr>
              <w:fldChar w:fldCharType="separate"/>
            </w:r>
            <w:r w:rsidR="00903BD5">
              <w:rPr>
                <w:noProof/>
                <w:webHidden/>
                <w:sz w:val="20"/>
                <w:szCs w:val="20"/>
              </w:rPr>
              <w:t>5</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6" w:history="1">
            <w:r w:rsidR="003B1B09" w:rsidRPr="003B1B09">
              <w:rPr>
                <w:rStyle w:val="Hipercze"/>
                <w:noProof/>
                <w:sz w:val="20"/>
                <w:szCs w:val="20"/>
                <w:lang w:val="pl-PL"/>
              </w:rPr>
              <w:t>4.3 Oświetlenie strefy otwartej</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_Toc174128436 \h </w:instrText>
            </w:r>
            <w:r w:rsidRPr="003B1B09">
              <w:rPr>
                <w:noProof/>
                <w:webHidden/>
                <w:sz w:val="20"/>
                <w:szCs w:val="20"/>
              </w:rPr>
            </w:r>
            <w:r w:rsidRPr="003B1B09">
              <w:rPr>
                <w:noProof/>
                <w:webHidden/>
                <w:sz w:val="20"/>
                <w:szCs w:val="20"/>
              </w:rPr>
              <w:fldChar w:fldCharType="separate"/>
            </w:r>
            <w:r w:rsidR="00903BD5">
              <w:rPr>
                <w:noProof/>
                <w:webHidden/>
                <w:sz w:val="20"/>
                <w:szCs w:val="20"/>
              </w:rPr>
              <w:t>6</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7" w:history="1">
            <w:r w:rsidR="003B1B09" w:rsidRPr="003B1B09">
              <w:rPr>
                <w:rStyle w:val="Hipercze"/>
                <w:noProof/>
                <w:sz w:val="20"/>
                <w:szCs w:val="20"/>
                <w:lang w:val="pl-PL"/>
              </w:rPr>
              <w:t>4.4 Sposób montażu i uwagi montażowe</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_Toc174128437 \h </w:instrText>
            </w:r>
            <w:r w:rsidRPr="003B1B09">
              <w:rPr>
                <w:noProof/>
                <w:webHidden/>
                <w:sz w:val="20"/>
                <w:szCs w:val="20"/>
              </w:rPr>
            </w:r>
            <w:r w:rsidRPr="003B1B09">
              <w:rPr>
                <w:noProof/>
                <w:webHidden/>
                <w:sz w:val="20"/>
                <w:szCs w:val="20"/>
              </w:rPr>
              <w:fldChar w:fldCharType="separate"/>
            </w:r>
            <w:r w:rsidR="00903BD5">
              <w:rPr>
                <w:noProof/>
                <w:webHidden/>
                <w:sz w:val="20"/>
                <w:szCs w:val="20"/>
              </w:rPr>
              <w:t>6</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8" w:history="1">
            <w:r w:rsidR="003B1B09" w:rsidRPr="003B1B09">
              <w:rPr>
                <w:rStyle w:val="Hipercze"/>
                <w:noProof/>
                <w:sz w:val="20"/>
                <w:szCs w:val="20"/>
                <w:lang w:val="pl-PL"/>
              </w:rPr>
              <w:t>5. Uwagi końcowe</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_Toc174128438 \h </w:instrText>
            </w:r>
            <w:r w:rsidRPr="003B1B09">
              <w:rPr>
                <w:noProof/>
                <w:webHidden/>
                <w:sz w:val="20"/>
                <w:szCs w:val="20"/>
              </w:rPr>
            </w:r>
            <w:r w:rsidRPr="003B1B09">
              <w:rPr>
                <w:noProof/>
                <w:webHidden/>
                <w:sz w:val="20"/>
                <w:szCs w:val="20"/>
              </w:rPr>
              <w:fldChar w:fldCharType="separate"/>
            </w:r>
            <w:r w:rsidR="00903BD5">
              <w:rPr>
                <w:noProof/>
                <w:webHidden/>
                <w:sz w:val="20"/>
                <w:szCs w:val="20"/>
              </w:rPr>
              <w:t>10</w:t>
            </w:r>
            <w:r w:rsidRPr="003B1B09">
              <w:rPr>
                <w:noProof/>
                <w:webHidden/>
                <w:sz w:val="20"/>
                <w:szCs w:val="20"/>
              </w:rPr>
              <w:fldChar w:fldCharType="end"/>
            </w:r>
          </w:hyperlink>
        </w:p>
        <w:p w:rsidR="003B1B09" w:rsidRPr="003B1B09" w:rsidRDefault="00483B75">
          <w:pPr>
            <w:pStyle w:val="Spistreci2"/>
            <w:tabs>
              <w:tab w:val="right" w:leader="dot" w:pos="9062"/>
            </w:tabs>
            <w:rPr>
              <w:rFonts w:cstheme="minorBidi"/>
              <w:noProof/>
              <w:sz w:val="20"/>
              <w:szCs w:val="20"/>
              <w:lang w:val="pl-PL" w:eastAsia="pl-PL" w:bidi="ar-SA"/>
            </w:rPr>
          </w:pPr>
          <w:hyperlink w:anchor="_Toc174128439" w:history="1">
            <w:r w:rsidR="003B1B09" w:rsidRPr="003B1B09">
              <w:rPr>
                <w:rStyle w:val="Hipercze"/>
                <w:noProof/>
                <w:sz w:val="20"/>
                <w:szCs w:val="20"/>
                <w:lang w:val="pl-PL"/>
              </w:rPr>
              <w:t>6. Zestawienie podstawowych materiałów</w:t>
            </w:r>
            <w:r w:rsidR="003B1B09" w:rsidRPr="003B1B09">
              <w:rPr>
                <w:noProof/>
                <w:webHidden/>
                <w:sz w:val="20"/>
                <w:szCs w:val="20"/>
              </w:rPr>
              <w:tab/>
            </w:r>
            <w:r w:rsidRPr="003B1B09">
              <w:rPr>
                <w:noProof/>
                <w:webHidden/>
                <w:sz w:val="20"/>
                <w:szCs w:val="20"/>
              </w:rPr>
              <w:fldChar w:fldCharType="begin"/>
            </w:r>
            <w:r w:rsidR="003B1B09" w:rsidRPr="003B1B09">
              <w:rPr>
                <w:noProof/>
                <w:webHidden/>
                <w:sz w:val="20"/>
                <w:szCs w:val="20"/>
              </w:rPr>
              <w:instrText xml:space="preserve"> PAGEREF _Toc174128439 \h </w:instrText>
            </w:r>
            <w:r w:rsidRPr="003B1B09">
              <w:rPr>
                <w:noProof/>
                <w:webHidden/>
                <w:sz w:val="20"/>
                <w:szCs w:val="20"/>
              </w:rPr>
            </w:r>
            <w:r w:rsidRPr="003B1B09">
              <w:rPr>
                <w:noProof/>
                <w:webHidden/>
                <w:sz w:val="20"/>
                <w:szCs w:val="20"/>
              </w:rPr>
              <w:fldChar w:fldCharType="separate"/>
            </w:r>
            <w:r w:rsidR="00903BD5">
              <w:rPr>
                <w:noProof/>
                <w:webHidden/>
                <w:sz w:val="20"/>
                <w:szCs w:val="20"/>
              </w:rPr>
              <w:t>11</w:t>
            </w:r>
            <w:r w:rsidRPr="003B1B09">
              <w:rPr>
                <w:noProof/>
                <w:webHidden/>
                <w:sz w:val="20"/>
                <w:szCs w:val="20"/>
              </w:rPr>
              <w:fldChar w:fldCharType="end"/>
            </w:r>
          </w:hyperlink>
        </w:p>
        <w:p w:rsidR="00015CA7" w:rsidRDefault="00483B75" w:rsidP="00176B37">
          <w:pPr>
            <w:tabs>
              <w:tab w:val="left" w:pos="8920"/>
            </w:tabs>
            <w:spacing w:line="288" w:lineRule="auto"/>
            <w:jc w:val="both"/>
          </w:pPr>
          <w:r w:rsidRPr="003B1B09">
            <w:rPr>
              <w:sz w:val="20"/>
              <w:szCs w:val="20"/>
            </w:rPr>
            <w:fldChar w:fldCharType="end"/>
          </w:r>
        </w:p>
      </w:sdtContent>
    </w:sdt>
    <w:p w:rsidR="008A183A" w:rsidRPr="00E63867" w:rsidRDefault="008A183A" w:rsidP="00176B37">
      <w:pPr>
        <w:pStyle w:val="Nagwek1"/>
        <w:jc w:val="both"/>
        <w:rPr>
          <w:lang w:val="pl-PL"/>
        </w:rPr>
      </w:pPr>
      <w:r>
        <w:rPr>
          <w:sz w:val="32"/>
          <w:szCs w:val="32"/>
        </w:rPr>
        <w:br w:type="page"/>
      </w:r>
    </w:p>
    <w:p w:rsidR="00551C72" w:rsidRPr="00015CA7" w:rsidRDefault="00015CA7" w:rsidP="00176B37">
      <w:pPr>
        <w:pStyle w:val="Nagwek1"/>
        <w:jc w:val="both"/>
        <w:rPr>
          <w:sz w:val="32"/>
          <w:szCs w:val="32"/>
          <w:lang w:val="pl-PL"/>
        </w:rPr>
      </w:pPr>
      <w:bookmarkStart w:id="1" w:name="_Toc174128427"/>
      <w:r w:rsidRPr="00015CA7">
        <w:rPr>
          <w:sz w:val="32"/>
          <w:szCs w:val="32"/>
          <w:lang w:val="pl-PL"/>
        </w:rPr>
        <w:lastRenderedPageBreak/>
        <w:t>Opis</w:t>
      </w:r>
      <w:r w:rsidR="00B4600A">
        <w:rPr>
          <w:sz w:val="32"/>
          <w:szCs w:val="32"/>
          <w:lang w:val="pl-PL"/>
        </w:rPr>
        <w:t xml:space="preserve"> </w:t>
      </w:r>
      <w:r w:rsidRPr="00015CA7">
        <w:rPr>
          <w:sz w:val="32"/>
          <w:szCs w:val="32"/>
          <w:lang w:val="pl-PL"/>
        </w:rPr>
        <w:t>techniczny</w:t>
      </w:r>
      <w:bookmarkEnd w:id="1"/>
    </w:p>
    <w:p w:rsidR="00551C72" w:rsidRPr="008727C9" w:rsidRDefault="00015CA7" w:rsidP="00176B37">
      <w:pPr>
        <w:pStyle w:val="Nagwek2"/>
        <w:spacing w:after="240"/>
        <w:jc w:val="both"/>
        <w:rPr>
          <w:i/>
          <w:sz w:val="28"/>
          <w:szCs w:val="28"/>
          <w:lang w:val="pl-PL"/>
        </w:rPr>
      </w:pPr>
      <w:bookmarkStart w:id="2" w:name="_Toc187216342"/>
      <w:bookmarkStart w:id="3" w:name="_Toc187458782"/>
      <w:bookmarkStart w:id="4" w:name="_Toc187458976"/>
      <w:bookmarkStart w:id="5" w:name="_Toc235173336"/>
      <w:bookmarkStart w:id="6" w:name="_Toc174128428"/>
      <w:bookmarkEnd w:id="0"/>
      <w:r w:rsidRPr="008727C9">
        <w:rPr>
          <w:i/>
          <w:sz w:val="28"/>
          <w:szCs w:val="28"/>
          <w:lang w:val="pl-PL"/>
        </w:rPr>
        <w:t>1.</w:t>
      </w:r>
      <w:r w:rsidR="00551C72" w:rsidRPr="008727C9">
        <w:rPr>
          <w:i/>
          <w:sz w:val="28"/>
          <w:szCs w:val="28"/>
          <w:lang w:val="pl-PL"/>
        </w:rPr>
        <w:t xml:space="preserve"> Podstawa opracowania</w:t>
      </w:r>
      <w:bookmarkEnd w:id="2"/>
      <w:bookmarkEnd w:id="3"/>
      <w:bookmarkEnd w:id="4"/>
      <w:bookmarkEnd w:id="5"/>
      <w:bookmarkEnd w:id="6"/>
    </w:p>
    <w:p w:rsidR="00551C72" w:rsidRDefault="00551C72" w:rsidP="00176B37">
      <w:pPr>
        <w:spacing w:line="288" w:lineRule="auto"/>
        <w:ind w:firstLine="426"/>
        <w:jc w:val="both"/>
      </w:pPr>
      <w:bookmarkStart w:id="7" w:name="_Toc187216343"/>
      <w:bookmarkStart w:id="8" w:name="_Toc187458783"/>
      <w:bookmarkStart w:id="9" w:name="_Toc187458977"/>
      <w:bookmarkStart w:id="10" w:name="_Toc235173337"/>
      <w:r w:rsidRPr="00BF3D3C">
        <w:t xml:space="preserve">Niniejszy projekt </w:t>
      </w:r>
      <w:r w:rsidR="00E1111F">
        <w:t>techniczny</w:t>
      </w:r>
      <w:r w:rsidR="006F2E3F">
        <w:t xml:space="preserve"> </w:t>
      </w:r>
      <w:r w:rsidRPr="00BF3D3C">
        <w:t>instalacji</w:t>
      </w:r>
      <w:r w:rsidRPr="000A323E">
        <w:t xml:space="preserve"> </w:t>
      </w:r>
      <w:r w:rsidR="006F2E3F">
        <w:t>oświetlenia awaryjnego</w:t>
      </w:r>
      <w:r w:rsidR="008727C9">
        <w:t xml:space="preserve"> </w:t>
      </w:r>
      <w:r>
        <w:t xml:space="preserve">dotyczy </w:t>
      </w:r>
      <w:r w:rsidR="00E1111F">
        <w:rPr>
          <w:rFonts w:eastAsia="Calibri" w:cs="Times New Roman"/>
        </w:rPr>
        <w:t>unowocześnienia infrastruktury</w:t>
      </w:r>
      <w:r w:rsidR="006F2E3F">
        <w:rPr>
          <w:rFonts w:eastAsia="Calibri" w:cs="Times New Roman"/>
        </w:rPr>
        <w:t xml:space="preserve"> i</w:t>
      </w:r>
      <w:r w:rsidR="00671867">
        <w:rPr>
          <w:rFonts w:eastAsia="Calibri" w:cs="Times New Roman"/>
        </w:rPr>
        <w:t> </w:t>
      </w:r>
      <w:r w:rsidR="006F2E3F">
        <w:rPr>
          <w:rFonts w:eastAsia="Calibri" w:cs="Times New Roman"/>
        </w:rPr>
        <w:t>poprawy warunków bezpieczeństwa</w:t>
      </w:r>
      <w:r w:rsidR="00E1111F">
        <w:rPr>
          <w:rFonts w:eastAsia="Calibri" w:cs="Times New Roman"/>
        </w:rPr>
        <w:t xml:space="preserve"> w </w:t>
      </w:r>
      <w:r w:rsidR="00EF2853">
        <w:rPr>
          <w:rFonts w:eastAsia="Calibri" w:cs="Times New Roman"/>
        </w:rPr>
        <w:t>Villi Intrata należącej</w:t>
      </w:r>
      <w:r w:rsidR="006F2E3F">
        <w:rPr>
          <w:rFonts w:eastAsia="Calibri" w:cs="Times New Roman"/>
        </w:rPr>
        <w:t xml:space="preserve"> do </w:t>
      </w:r>
      <w:r w:rsidR="00E1111F">
        <w:rPr>
          <w:rFonts w:eastAsia="Calibri" w:cs="Times New Roman"/>
        </w:rPr>
        <w:t>Muzeum</w:t>
      </w:r>
      <w:r w:rsidR="006F2E3F">
        <w:rPr>
          <w:rFonts w:eastAsia="Calibri" w:cs="Times New Roman"/>
        </w:rPr>
        <w:t xml:space="preserve"> Pałacu</w:t>
      </w:r>
      <w:r w:rsidR="006F2E3F" w:rsidRPr="006F2E3F">
        <w:t xml:space="preserve"> </w:t>
      </w:r>
      <w:r w:rsidR="006F2E3F">
        <w:t>Jana III w Wilanowie</w:t>
      </w:r>
      <w:r w:rsidR="008727C9">
        <w:rPr>
          <w:rFonts w:eastAsia="Calibri" w:cs="Times New Roman"/>
        </w:rPr>
        <w:t>.</w:t>
      </w:r>
      <w:r w:rsidRPr="000A323E">
        <w:t xml:space="preserve"> Podstawę prawną przedmiotowego opracowania projektowego stanowi</w:t>
      </w:r>
      <w:r w:rsidR="006F2E3F">
        <w:t>ą</w:t>
      </w:r>
      <w:r w:rsidRPr="000A323E">
        <w:t>:</w:t>
      </w:r>
    </w:p>
    <w:p w:rsidR="00551C72" w:rsidRPr="0097238D" w:rsidRDefault="00551C72" w:rsidP="00176B37">
      <w:pPr>
        <w:pStyle w:val="Akapitzlist"/>
        <w:numPr>
          <w:ilvl w:val="0"/>
          <w:numId w:val="2"/>
        </w:numPr>
        <w:spacing w:line="288" w:lineRule="auto"/>
        <w:jc w:val="both"/>
      </w:pPr>
      <w:r w:rsidRPr="0097238D">
        <w:t>umowa z Inwestorem oraz uzgodnienia,</w:t>
      </w:r>
    </w:p>
    <w:p w:rsidR="006F2E3F" w:rsidRDefault="006F2E3F" w:rsidP="00B4600A">
      <w:pPr>
        <w:pStyle w:val="Akapitzlist"/>
        <w:numPr>
          <w:ilvl w:val="0"/>
          <w:numId w:val="3"/>
        </w:numPr>
        <w:spacing w:line="288" w:lineRule="auto"/>
        <w:jc w:val="both"/>
      </w:pPr>
      <w:r>
        <w:t>zalecenia MWKZ ujętymi w piśmie nr WZWL.5183.631.2022.KBD z dnia 01.08.2022r.,</w:t>
      </w:r>
    </w:p>
    <w:p w:rsidR="006F2E3F" w:rsidRDefault="006F2E3F" w:rsidP="00B4600A">
      <w:pPr>
        <w:pStyle w:val="Akapitzlist"/>
        <w:numPr>
          <w:ilvl w:val="0"/>
          <w:numId w:val="3"/>
        </w:numPr>
        <w:spacing w:line="288" w:lineRule="auto"/>
        <w:jc w:val="both"/>
      </w:pPr>
      <w:r>
        <w:t>zalecenia MWKZ ujętymi w piśmie nr WZWL.5183.587.2019.KBD z dnia 01.07.2019r. z załącznikiem,</w:t>
      </w:r>
    </w:p>
    <w:p w:rsidR="00B4600A" w:rsidRPr="00143864" w:rsidRDefault="006F2E3F" w:rsidP="00B4600A">
      <w:pPr>
        <w:pStyle w:val="Akapitzlist"/>
        <w:numPr>
          <w:ilvl w:val="0"/>
          <w:numId w:val="3"/>
        </w:numPr>
        <w:spacing w:line="288" w:lineRule="auto"/>
        <w:jc w:val="both"/>
      </w:pPr>
      <w:r>
        <w:t>operat p-pożarowy obiektu,</w:t>
      </w:r>
    </w:p>
    <w:p w:rsidR="00B4600A" w:rsidRPr="00143864" w:rsidRDefault="006F2E3F" w:rsidP="00B4600A">
      <w:pPr>
        <w:pStyle w:val="Akapitzlist"/>
        <w:numPr>
          <w:ilvl w:val="0"/>
          <w:numId w:val="3"/>
        </w:numPr>
        <w:spacing w:line="288" w:lineRule="auto"/>
        <w:jc w:val="both"/>
      </w:pPr>
      <w:r>
        <w:t>PN-EN 1838:2013-11 Zastosowanie oświetlenia. Oświetlenie awaryjne</w:t>
      </w:r>
    </w:p>
    <w:p w:rsidR="00B4600A" w:rsidRDefault="006F2E3F" w:rsidP="00B4600A">
      <w:pPr>
        <w:pStyle w:val="Akapitzlist"/>
        <w:numPr>
          <w:ilvl w:val="0"/>
          <w:numId w:val="3"/>
        </w:numPr>
        <w:spacing w:line="288" w:lineRule="auto"/>
        <w:jc w:val="both"/>
      </w:pPr>
      <w:r>
        <w:t>Norma SEP N SEP-E-007:2017-09 Instalacje elektroenergetyczne i teletechniczne w budynkach. Dobór kabli i innych przewodów ze względu na ich reakcję na ogień,</w:t>
      </w:r>
    </w:p>
    <w:p w:rsidR="00531822" w:rsidRDefault="00531822" w:rsidP="00B4600A">
      <w:pPr>
        <w:pStyle w:val="Akapitzlist"/>
        <w:numPr>
          <w:ilvl w:val="0"/>
          <w:numId w:val="3"/>
        </w:numPr>
        <w:spacing w:line="288" w:lineRule="auto"/>
        <w:jc w:val="both"/>
      </w:pPr>
      <w:r>
        <w:t xml:space="preserve">Rozporządzenie Ministra Infrastruktury w sprawie warunków technicznych, jakim powinny odpowiadać budynki i ich usytuowanie </w:t>
      </w:r>
      <w:r w:rsidRPr="00531822">
        <w:t>Dz.U. 2022 poz. 1225</w:t>
      </w:r>
    </w:p>
    <w:p w:rsidR="006F2E3F" w:rsidRDefault="006F2E3F" w:rsidP="006F2E3F">
      <w:pPr>
        <w:pStyle w:val="Akapitzlist"/>
        <w:numPr>
          <w:ilvl w:val="0"/>
          <w:numId w:val="3"/>
        </w:numPr>
        <w:spacing w:line="288" w:lineRule="auto"/>
        <w:jc w:val="both"/>
      </w:pPr>
      <w:r w:rsidRPr="0097238D">
        <w:t>obowiązujące przepisy</w:t>
      </w:r>
      <w:r>
        <w:t xml:space="preserve"> oraz zasady wiedzy technicznej,</w:t>
      </w:r>
    </w:p>
    <w:p w:rsidR="006F2E3F" w:rsidRPr="00143864" w:rsidRDefault="006F2E3F" w:rsidP="006F2E3F">
      <w:pPr>
        <w:pStyle w:val="Akapitzlist"/>
        <w:spacing w:line="288" w:lineRule="auto"/>
        <w:jc w:val="both"/>
      </w:pPr>
    </w:p>
    <w:p w:rsidR="00B4600A" w:rsidRPr="0097238D" w:rsidRDefault="00B4600A" w:rsidP="00E44630">
      <w:pPr>
        <w:spacing w:line="288" w:lineRule="auto"/>
        <w:ind w:firstLine="426"/>
        <w:jc w:val="both"/>
      </w:pPr>
      <w:r w:rsidRPr="00362D9C">
        <w:t>Projekt jest podstaw</w:t>
      </w:r>
      <w:r w:rsidRPr="00155DE4">
        <w:rPr>
          <w:rFonts w:eastAsia="TimesNewRoman" w:cs="TimesNewRoman"/>
        </w:rPr>
        <w:t xml:space="preserve">ą </w:t>
      </w:r>
      <w:r w:rsidRPr="00362D9C">
        <w:t xml:space="preserve">do realizacji </w:t>
      </w:r>
      <w:r w:rsidR="006F2E3F">
        <w:t>instalacji oświetlenia awaryjnego</w:t>
      </w:r>
      <w:r w:rsidRPr="00362D9C">
        <w:t xml:space="preserve"> spełniaj</w:t>
      </w:r>
      <w:r w:rsidRPr="00155DE4">
        <w:rPr>
          <w:rFonts w:eastAsia="TimesNewRoman" w:cs="TimesNewRoman"/>
        </w:rPr>
        <w:t>ą</w:t>
      </w:r>
      <w:r w:rsidRPr="00362D9C">
        <w:t>cego wymagania</w:t>
      </w:r>
      <w:r w:rsidR="006F2E3F">
        <w:t>.</w:t>
      </w:r>
    </w:p>
    <w:p w:rsidR="00551C72" w:rsidRPr="008727C9" w:rsidRDefault="008727C9" w:rsidP="00176B37">
      <w:pPr>
        <w:pStyle w:val="Nagwek2"/>
        <w:spacing w:after="240"/>
        <w:jc w:val="both"/>
        <w:rPr>
          <w:i/>
          <w:sz w:val="28"/>
          <w:szCs w:val="28"/>
          <w:lang w:val="pl-PL"/>
        </w:rPr>
      </w:pPr>
      <w:bookmarkStart w:id="11" w:name="_Toc174128429"/>
      <w:bookmarkEnd w:id="7"/>
      <w:bookmarkEnd w:id="8"/>
      <w:bookmarkEnd w:id="9"/>
      <w:bookmarkEnd w:id="10"/>
      <w:r w:rsidRPr="008727C9">
        <w:rPr>
          <w:i/>
          <w:sz w:val="28"/>
          <w:szCs w:val="28"/>
          <w:lang w:val="pl-PL"/>
        </w:rPr>
        <w:t>2. Zakres opracowania</w:t>
      </w:r>
      <w:bookmarkEnd w:id="11"/>
    </w:p>
    <w:p w:rsidR="00551C72" w:rsidRDefault="00551C72" w:rsidP="00E1111F">
      <w:pPr>
        <w:spacing w:line="288" w:lineRule="auto"/>
        <w:ind w:firstLine="426"/>
        <w:jc w:val="both"/>
        <w:rPr>
          <w:szCs w:val="24"/>
        </w:rPr>
      </w:pPr>
      <w:r w:rsidRPr="00BF3D3C">
        <w:rPr>
          <w:szCs w:val="24"/>
        </w:rPr>
        <w:t>Przedm</w:t>
      </w:r>
      <w:r w:rsidR="00E63867">
        <w:rPr>
          <w:szCs w:val="24"/>
        </w:rPr>
        <w:t xml:space="preserve">iotem opracowania jest projekt </w:t>
      </w:r>
      <w:r w:rsidR="00E1111F">
        <w:rPr>
          <w:szCs w:val="24"/>
        </w:rPr>
        <w:t>techniczny</w:t>
      </w:r>
      <w:r w:rsidRPr="00BF3D3C">
        <w:rPr>
          <w:szCs w:val="24"/>
        </w:rPr>
        <w:t xml:space="preserve"> w zakresie</w:t>
      </w:r>
      <w:r w:rsidR="00E1111F">
        <w:rPr>
          <w:szCs w:val="24"/>
        </w:rPr>
        <w:t xml:space="preserve"> </w:t>
      </w:r>
      <w:r w:rsidR="006F2E3F">
        <w:rPr>
          <w:szCs w:val="24"/>
        </w:rPr>
        <w:t>oświetlenia awaryjnego w budynku Villi Intrata</w:t>
      </w:r>
      <w:r w:rsidR="00E1111F">
        <w:rPr>
          <w:szCs w:val="24"/>
        </w:rPr>
        <w:t>.</w:t>
      </w:r>
    </w:p>
    <w:p w:rsidR="00A13123" w:rsidRPr="000818A1" w:rsidRDefault="00A13123" w:rsidP="00111EB0">
      <w:pPr>
        <w:spacing w:line="288" w:lineRule="auto"/>
        <w:jc w:val="both"/>
        <w:rPr>
          <w:szCs w:val="24"/>
        </w:rPr>
      </w:pPr>
      <w:r>
        <w:rPr>
          <w:szCs w:val="24"/>
        </w:rPr>
        <w:t>Obiekt posiada oświetlenie awaryjne jednak jest ono niewystarczające – uzupełniono go o brakujące oprawy oświetlenia awaryjnego.</w:t>
      </w:r>
    </w:p>
    <w:p w:rsidR="005831C0" w:rsidRPr="009D122D" w:rsidRDefault="000818A1" w:rsidP="005831C0">
      <w:pPr>
        <w:pStyle w:val="Nagwek2"/>
        <w:spacing w:after="240"/>
        <w:jc w:val="both"/>
        <w:rPr>
          <w:i/>
          <w:color w:val="000000" w:themeColor="text1"/>
          <w:sz w:val="28"/>
          <w:szCs w:val="28"/>
          <w:lang w:val="pl-PL"/>
        </w:rPr>
      </w:pPr>
      <w:bookmarkStart w:id="12" w:name="_Toc174128430"/>
      <w:r w:rsidRPr="009D122D">
        <w:rPr>
          <w:i/>
          <w:color w:val="000000" w:themeColor="text1"/>
          <w:sz w:val="28"/>
          <w:szCs w:val="28"/>
          <w:lang w:val="pl-PL"/>
        </w:rPr>
        <w:t>3. Charakterystyka obiektu</w:t>
      </w:r>
      <w:bookmarkEnd w:id="12"/>
    </w:p>
    <w:p w:rsidR="009B497B" w:rsidRPr="009D122D" w:rsidRDefault="009B497B" w:rsidP="009B497B">
      <w:pPr>
        <w:pStyle w:val="Nagwek3"/>
        <w:spacing w:before="0" w:after="240" w:line="288" w:lineRule="auto"/>
        <w:jc w:val="both"/>
        <w:rPr>
          <w:rFonts w:ascii="Arial Narrow" w:hAnsi="Arial Narrow"/>
          <w:b/>
          <w:color w:val="000000" w:themeColor="text1"/>
          <w:lang w:bidi="en-US"/>
        </w:rPr>
      </w:pPr>
      <w:bookmarkStart w:id="13" w:name="_Toc174128431"/>
      <w:r w:rsidRPr="009D122D">
        <w:rPr>
          <w:rFonts w:ascii="Arial Narrow" w:hAnsi="Arial Narrow"/>
          <w:b/>
          <w:color w:val="000000" w:themeColor="text1"/>
          <w:lang w:bidi="en-US"/>
        </w:rPr>
        <w:t>3.1.Dane ogólne</w:t>
      </w:r>
      <w:bookmarkEnd w:id="13"/>
    </w:p>
    <w:p w:rsidR="00BA7F97" w:rsidRDefault="005831C0" w:rsidP="00BA7F97">
      <w:pPr>
        <w:spacing w:line="288" w:lineRule="auto"/>
        <w:ind w:firstLine="426"/>
        <w:jc w:val="both"/>
        <w:rPr>
          <w:color w:val="000000" w:themeColor="text1"/>
        </w:rPr>
      </w:pPr>
      <w:r w:rsidRPr="009D122D">
        <w:rPr>
          <w:color w:val="000000" w:themeColor="text1"/>
        </w:rPr>
        <w:t xml:space="preserve">Muzeum </w:t>
      </w:r>
      <w:r w:rsidR="00BA7F97">
        <w:rPr>
          <w:color w:val="000000" w:themeColor="text1"/>
        </w:rPr>
        <w:t xml:space="preserve">Pałacu Króla </w:t>
      </w:r>
      <w:r w:rsidR="00BA7F97" w:rsidRPr="005C258B">
        <w:rPr>
          <w:color w:val="000000" w:themeColor="text1"/>
        </w:rPr>
        <w:t>Jana III</w:t>
      </w:r>
      <w:r w:rsidR="00BA7F97">
        <w:rPr>
          <w:color w:val="000000" w:themeColor="text1"/>
        </w:rPr>
        <w:t xml:space="preserve"> w Wilanowie, znajdujące się przy ul. S.K. Potockiego w Warszawie</w:t>
      </w:r>
      <w:r w:rsidR="00103382">
        <w:rPr>
          <w:color w:val="000000" w:themeColor="text1"/>
        </w:rPr>
        <w:t xml:space="preserve"> i jest państwową instytucją kultury</w:t>
      </w:r>
      <w:r w:rsidR="00BA7F97">
        <w:rPr>
          <w:color w:val="000000" w:themeColor="text1"/>
        </w:rPr>
        <w:t xml:space="preserve">. </w:t>
      </w:r>
      <w:r w:rsidR="00BA7F97" w:rsidRPr="00BA7F97">
        <w:rPr>
          <w:color w:val="000000" w:themeColor="text1"/>
        </w:rPr>
        <w:t>Budynek funkcjonuje w zabudowie zwartej wraz z zespołem budynków zabytkowych, o zróżnicowanych parametrach technicznych i aktualnym przeznaczeniu użytkowym</w:t>
      </w:r>
      <w:r w:rsidR="00BA7F97">
        <w:rPr>
          <w:color w:val="000000" w:themeColor="text1"/>
        </w:rPr>
        <w:t>.</w:t>
      </w:r>
      <w:r w:rsidR="005033C8" w:rsidRPr="009D122D">
        <w:rPr>
          <w:color w:val="000000" w:themeColor="text1"/>
        </w:rPr>
        <w:t xml:space="preserve"> Niniejsze opracowanie dotyczy</w:t>
      </w:r>
      <w:r w:rsidR="00BA7F97">
        <w:rPr>
          <w:color w:val="000000" w:themeColor="text1"/>
        </w:rPr>
        <w:t xml:space="preserve"> Villi Intrata</w:t>
      </w:r>
      <w:r w:rsidR="005033C8" w:rsidRPr="009D122D">
        <w:rPr>
          <w:color w:val="000000" w:themeColor="text1"/>
        </w:rPr>
        <w:t>.</w:t>
      </w:r>
    </w:p>
    <w:p w:rsidR="003F562D" w:rsidRDefault="00445D84" w:rsidP="00BA7F97">
      <w:pPr>
        <w:spacing w:line="288" w:lineRule="auto"/>
        <w:ind w:firstLine="426"/>
        <w:jc w:val="both"/>
        <w:rPr>
          <w:color w:val="000000" w:themeColor="text1"/>
        </w:rPr>
      </w:pPr>
      <w:r>
        <w:rPr>
          <w:color w:val="000000" w:themeColor="text1"/>
        </w:rPr>
        <w:t xml:space="preserve">Villa Intrata jest murowanym dworkiem z początku XX w.  na terenie rezydencji w Wilanowie, przeznaczonym jako miejsce organizacji </w:t>
      </w:r>
      <w:r w:rsidR="006B2426">
        <w:rPr>
          <w:color w:val="000000" w:themeColor="text1"/>
        </w:rPr>
        <w:t xml:space="preserve">imprez okolicznościowych i wydarzeń kulturalnych. </w:t>
      </w:r>
    </w:p>
    <w:p w:rsidR="00BA7F97" w:rsidRPr="009D122D" w:rsidRDefault="00445D84" w:rsidP="00BA7F97">
      <w:pPr>
        <w:spacing w:line="288" w:lineRule="auto"/>
        <w:ind w:firstLine="426"/>
        <w:jc w:val="both"/>
        <w:rPr>
          <w:color w:val="000000" w:themeColor="text1"/>
        </w:rPr>
      </w:pPr>
      <w:r>
        <w:rPr>
          <w:color w:val="000000" w:themeColor="text1"/>
        </w:rPr>
        <w:t>W budynkach znajduje się instalacja elektryczna. Plany obiektów przedstawiono na rys. 1-</w:t>
      </w:r>
      <w:r w:rsidR="00EF10B5">
        <w:rPr>
          <w:color w:val="000000" w:themeColor="text1"/>
        </w:rPr>
        <w:t>4</w:t>
      </w:r>
      <w:r>
        <w:rPr>
          <w:color w:val="000000" w:themeColor="text1"/>
        </w:rPr>
        <w:t xml:space="preserve"> w projekcie </w:t>
      </w:r>
      <w:r w:rsidR="00EF2853" w:rsidRPr="00EF2853">
        <w:t>PT</w:t>
      </w:r>
      <w:r w:rsidRPr="00EF2853">
        <w:t>.</w:t>
      </w:r>
    </w:p>
    <w:p w:rsidR="00E60C62" w:rsidRPr="009D122D" w:rsidRDefault="00E60C62" w:rsidP="00176B37">
      <w:pPr>
        <w:spacing w:line="288" w:lineRule="auto"/>
        <w:jc w:val="both"/>
        <w:rPr>
          <w:color w:val="000000" w:themeColor="text1"/>
        </w:rPr>
      </w:pPr>
    </w:p>
    <w:p w:rsidR="00693523" w:rsidRPr="00103382" w:rsidRDefault="003D1C14" w:rsidP="00176B37">
      <w:pPr>
        <w:pStyle w:val="Nagwek3"/>
        <w:spacing w:before="0" w:after="240" w:line="288" w:lineRule="auto"/>
        <w:jc w:val="both"/>
        <w:rPr>
          <w:rFonts w:ascii="Arial Narrow" w:hAnsi="Arial Narrow"/>
          <w:b/>
          <w:color w:val="000000" w:themeColor="text1"/>
          <w:lang w:bidi="en-US"/>
        </w:rPr>
      </w:pPr>
      <w:bookmarkStart w:id="14" w:name="_Toc174128432"/>
      <w:r w:rsidRPr="00103382">
        <w:rPr>
          <w:rFonts w:ascii="Arial Narrow" w:hAnsi="Arial Narrow"/>
          <w:b/>
          <w:color w:val="000000" w:themeColor="text1"/>
          <w:lang w:bidi="en-US"/>
        </w:rPr>
        <w:t>3.2</w:t>
      </w:r>
      <w:r w:rsidR="00693523" w:rsidRPr="00103382">
        <w:rPr>
          <w:rFonts w:ascii="Arial Narrow" w:hAnsi="Arial Narrow"/>
          <w:b/>
          <w:color w:val="000000" w:themeColor="text1"/>
          <w:lang w:bidi="en-US"/>
        </w:rPr>
        <w:t>. Rys historyczny</w:t>
      </w:r>
      <w:bookmarkEnd w:id="14"/>
    </w:p>
    <w:p w:rsidR="001852CC" w:rsidRDefault="00103382" w:rsidP="00176B37">
      <w:pPr>
        <w:spacing w:line="288" w:lineRule="auto"/>
        <w:ind w:firstLine="426"/>
        <w:jc w:val="both"/>
        <w:rPr>
          <w:color w:val="000000" w:themeColor="text1"/>
        </w:rPr>
      </w:pPr>
      <w:r>
        <w:rPr>
          <w:color w:val="000000" w:themeColor="text1"/>
        </w:rPr>
        <w:t xml:space="preserve">Pałac w Wilanowie powstał w latach 1681-1696 dla Króla Jana III Sobieskiego i Marii Kazimiery. </w:t>
      </w:r>
      <w:r w:rsidR="001852CC" w:rsidRPr="001852CC">
        <w:rPr>
          <w:color w:val="000000" w:themeColor="text1"/>
        </w:rPr>
        <w:t>Początkowo, w latach 1677–1680 była to typowa podmiejska rezydencja magnacka</w:t>
      </w:r>
      <w:r w:rsidR="001852CC">
        <w:rPr>
          <w:color w:val="000000" w:themeColor="text1"/>
        </w:rPr>
        <w:t xml:space="preserve">. </w:t>
      </w:r>
      <w:r w:rsidR="001852CC" w:rsidRPr="001852CC">
        <w:rPr>
          <w:color w:val="000000" w:themeColor="text1"/>
        </w:rPr>
        <w:t xml:space="preserve">W latach 1692–1696 </w:t>
      </w:r>
      <w:r w:rsidR="001852CC">
        <w:rPr>
          <w:color w:val="000000" w:themeColor="text1"/>
        </w:rPr>
        <w:t>dobudowano drugie piętro, a w latach 1720-1728 dobudowano boczne skrzydła do pałacu.</w:t>
      </w:r>
    </w:p>
    <w:p w:rsidR="001852CC" w:rsidRDefault="001852CC" w:rsidP="00176B37">
      <w:pPr>
        <w:spacing w:line="288" w:lineRule="auto"/>
        <w:ind w:firstLine="426"/>
        <w:jc w:val="both"/>
        <w:rPr>
          <w:color w:val="000000" w:themeColor="text1"/>
        </w:rPr>
      </w:pPr>
      <w:r>
        <w:rPr>
          <w:color w:val="000000" w:themeColor="text1"/>
        </w:rPr>
        <w:t>Muzeum z</w:t>
      </w:r>
      <w:r w:rsidRPr="001852CC">
        <w:rPr>
          <w:color w:val="000000" w:themeColor="text1"/>
        </w:rPr>
        <w:t>ostało założone w 1805 roku z inicjatywy ówczesnych właścicieli Aleksandr</w:t>
      </w:r>
      <w:r>
        <w:rPr>
          <w:color w:val="000000" w:themeColor="text1"/>
        </w:rPr>
        <w:t xml:space="preserve">y i Stanisława Kostki Potockich, jest ono uważane za najstarsze polskie muzeum sztuki. </w:t>
      </w:r>
    </w:p>
    <w:p w:rsidR="00103382" w:rsidRDefault="00103382" w:rsidP="00176B37">
      <w:pPr>
        <w:spacing w:line="288" w:lineRule="auto"/>
        <w:ind w:firstLine="426"/>
        <w:jc w:val="both"/>
        <w:rPr>
          <w:color w:val="000000" w:themeColor="text1"/>
          <w:lang w:bidi="en-US"/>
        </w:rPr>
      </w:pPr>
      <w:r>
        <w:rPr>
          <w:color w:val="000000" w:themeColor="text1"/>
        </w:rPr>
        <w:lastRenderedPageBreak/>
        <w:t xml:space="preserve">Aktualnie pałac otaczają budynki wchodzące w skład zespołu budynków zabytkowych oraz </w:t>
      </w:r>
      <w:r w:rsidR="001852CC">
        <w:rPr>
          <w:color w:val="000000" w:themeColor="text1"/>
        </w:rPr>
        <w:t xml:space="preserve">park i ogrody. </w:t>
      </w:r>
    </w:p>
    <w:p w:rsidR="002D5D7E" w:rsidRDefault="002D5D7E" w:rsidP="00176B37">
      <w:pPr>
        <w:pStyle w:val="Nagwek2"/>
        <w:spacing w:after="240"/>
        <w:jc w:val="both"/>
        <w:rPr>
          <w:i/>
          <w:sz w:val="28"/>
          <w:szCs w:val="28"/>
          <w:lang w:val="pl-PL"/>
        </w:rPr>
      </w:pPr>
      <w:bookmarkStart w:id="15" w:name="_Toc174128433"/>
      <w:r>
        <w:rPr>
          <w:i/>
          <w:sz w:val="28"/>
          <w:szCs w:val="28"/>
          <w:lang w:val="pl-PL"/>
        </w:rPr>
        <w:t xml:space="preserve">4. </w:t>
      </w:r>
      <w:r w:rsidR="00B4600A">
        <w:rPr>
          <w:i/>
          <w:sz w:val="28"/>
          <w:szCs w:val="28"/>
          <w:lang w:val="pl-PL"/>
        </w:rPr>
        <w:t>Oświetlenie awaryjne</w:t>
      </w:r>
      <w:bookmarkEnd w:id="15"/>
    </w:p>
    <w:p w:rsidR="00B4600A" w:rsidRPr="00EF2853" w:rsidRDefault="00931DA8" w:rsidP="00B4600A">
      <w:pPr>
        <w:autoSpaceDE w:val="0"/>
        <w:autoSpaceDN w:val="0"/>
        <w:adjustRightInd w:val="0"/>
        <w:spacing w:line="240" w:lineRule="auto"/>
        <w:ind w:firstLine="426"/>
        <w:jc w:val="both"/>
        <w:rPr>
          <w:rFonts w:cs="Erie_Lightpl"/>
        </w:rPr>
      </w:pPr>
      <w:r w:rsidRPr="00EF2853">
        <w:t>Oświetlenie awaryjne należy wykonać zgodnie z PN-EN 1838</w:t>
      </w:r>
      <w:r w:rsidR="00B502AD">
        <w:t>:2013</w:t>
      </w:r>
      <w:r w:rsidRPr="00EF2853">
        <w:t xml:space="preserve"> „Zastosowanie oświetlenia. Oświetlenie awaryjne” oraz PN-EN 50172 „Systemy awaryjnego oświetlenia ewakuacyjnego”. Stanowi ono oświetlenie zastępcze, załączane podczas zaniku zasilania opraw oświetlenia podstawowego oraz służy do oznaczania wyjść ewakuacyjnych. Ze względu na warunki zadziałania oprawy awaryjne posiadać muszą własne niezależne źródło zasilania, najczęściej realizowane w formie wewnętrznych akumulatorów. </w:t>
      </w:r>
      <w:r w:rsidR="00B4600A" w:rsidRPr="00EF2853">
        <w:rPr>
          <w:rFonts w:cs="Erie_Lightpl"/>
        </w:rPr>
        <w:t xml:space="preserve">Oświetlenie awaryjne jest ogólnym określeniem kilku odmian oświetlenia, </w:t>
      </w:r>
      <w:r w:rsidR="002A4D4C">
        <w:rPr>
          <w:rFonts w:cs="Erie_Lightpl"/>
        </w:rPr>
        <w:t>które przedstawiono na rysunkach</w:t>
      </w:r>
      <w:r w:rsidR="00B4600A" w:rsidRPr="00EF2853">
        <w:rPr>
          <w:rFonts w:cs="Erie_Lightpl"/>
        </w:rPr>
        <w:t>.</w:t>
      </w:r>
    </w:p>
    <w:p w:rsidR="00B4600A" w:rsidRDefault="00B4600A" w:rsidP="00B4600A">
      <w:pPr>
        <w:autoSpaceDE w:val="0"/>
        <w:autoSpaceDN w:val="0"/>
        <w:adjustRightInd w:val="0"/>
        <w:spacing w:line="240" w:lineRule="auto"/>
        <w:rPr>
          <w:rFonts w:cs="Erie_Lightpl"/>
        </w:rPr>
      </w:pPr>
    </w:p>
    <w:p w:rsidR="00B4600A" w:rsidRDefault="00B4600A" w:rsidP="00B4600A">
      <w:pPr>
        <w:autoSpaceDE w:val="0"/>
        <w:autoSpaceDN w:val="0"/>
        <w:adjustRightInd w:val="0"/>
        <w:spacing w:line="240" w:lineRule="auto"/>
        <w:rPr>
          <w:rFonts w:cs="Erie_Lightpl"/>
        </w:rPr>
      </w:pPr>
      <w:r>
        <w:rPr>
          <w:rFonts w:cs="Erie_Lightpl"/>
          <w:noProof/>
          <w:lang w:eastAsia="pl-PL"/>
        </w:rPr>
        <w:drawing>
          <wp:inline distT="0" distB="0" distL="0" distR="0">
            <wp:extent cx="5760720" cy="1978025"/>
            <wp:effectExtent l="19050" t="0" r="0" b="0"/>
            <wp:docPr id="2" name="Obraz 6" descr="rys_wawerek_sprostowa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s_wawerek_sprostowanie.png"/>
                    <pic:cNvPicPr/>
                  </pic:nvPicPr>
                  <pic:blipFill>
                    <a:blip r:embed="rId8" cstate="print"/>
                    <a:stretch>
                      <a:fillRect/>
                    </a:stretch>
                  </pic:blipFill>
                  <pic:spPr>
                    <a:xfrm>
                      <a:off x="0" y="0"/>
                      <a:ext cx="5760720" cy="1978025"/>
                    </a:xfrm>
                    <a:prstGeom prst="rect">
                      <a:avLst/>
                    </a:prstGeom>
                  </pic:spPr>
                </pic:pic>
              </a:graphicData>
            </a:graphic>
          </wp:inline>
        </w:drawing>
      </w:r>
    </w:p>
    <w:p w:rsidR="00B4600A" w:rsidRDefault="00B4600A" w:rsidP="00420FFA">
      <w:pPr>
        <w:autoSpaceDE w:val="0"/>
        <w:autoSpaceDN w:val="0"/>
        <w:adjustRightInd w:val="0"/>
        <w:spacing w:line="240" w:lineRule="auto"/>
        <w:jc w:val="center"/>
        <w:rPr>
          <w:rFonts w:cs="Erie_Lightpl"/>
        </w:rPr>
      </w:pPr>
      <w:r>
        <w:rPr>
          <w:rFonts w:cs="Erie_Lightpl"/>
        </w:rPr>
        <w:t>Rys. 1. Odmiany oświetlenia awaryjnego (wg PN-EN 1838:2005).</w:t>
      </w:r>
    </w:p>
    <w:p w:rsidR="00B4600A" w:rsidRPr="001F7BA5" w:rsidRDefault="00B4600A" w:rsidP="00B4600A">
      <w:pPr>
        <w:pStyle w:val="Nagwek2"/>
        <w:rPr>
          <w:lang w:val="pl-PL"/>
        </w:rPr>
      </w:pPr>
      <w:bookmarkStart w:id="16" w:name="_Toc81480897"/>
      <w:bookmarkStart w:id="17" w:name="_Toc174128434"/>
      <w:r>
        <w:rPr>
          <w:lang w:val="pl-PL"/>
        </w:rPr>
        <w:t>4</w:t>
      </w:r>
      <w:r w:rsidRPr="001F7BA5">
        <w:rPr>
          <w:lang w:val="pl-PL"/>
        </w:rPr>
        <w:t>.</w:t>
      </w:r>
      <w:r>
        <w:rPr>
          <w:lang w:val="pl-PL"/>
        </w:rPr>
        <w:t>1</w:t>
      </w:r>
      <w:r w:rsidRPr="001F7BA5">
        <w:rPr>
          <w:lang w:val="pl-PL"/>
        </w:rPr>
        <w:t>. Informacje ogólne</w:t>
      </w:r>
      <w:bookmarkEnd w:id="16"/>
      <w:bookmarkEnd w:id="17"/>
    </w:p>
    <w:p w:rsidR="00B4600A" w:rsidRPr="00EF2853" w:rsidRDefault="00B4600A" w:rsidP="00B4600A">
      <w:pPr>
        <w:autoSpaceDE w:val="0"/>
        <w:autoSpaceDN w:val="0"/>
        <w:adjustRightInd w:val="0"/>
        <w:spacing w:line="240" w:lineRule="auto"/>
        <w:ind w:firstLine="426"/>
        <w:jc w:val="both"/>
        <w:rPr>
          <w:rFonts w:cs="Erie_Lightpl"/>
        </w:rPr>
      </w:pPr>
      <w:r w:rsidRPr="00EF2853">
        <w:rPr>
          <w:rFonts w:cs="Erie_Lightpl"/>
        </w:rPr>
        <w:t>Oświetlenie awaryjne projektuje się zgodnie z PN-EN 1838 pkt.3.1. Oświetlenie przeznaczone jest do stosowania jako oświetlenie podstawowe podczas awarii zasilania urządzeń. Awaryjne oświetlenie ewakuacyjne, według PN-EN 1838 pkt. 3.3, jest to część oświetlenia awaryjnego zapewniające bezpieczne opuszczenie miejsca przebywania lub umożliwiające podjęcie próby zakończenia potencjalnie niebezpiecznego procesu.</w:t>
      </w:r>
    </w:p>
    <w:p w:rsidR="000D699E" w:rsidRPr="00EF2853" w:rsidRDefault="000D699E" w:rsidP="00B4600A">
      <w:pPr>
        <w:autoSpaceDE w:val="0"/>
        <w:autoSpaceDN w:val="0"/>
        <w:adjustRightInd w:val="0"/>
        <w:spacing w:line="240" w:lineRule="auto"/>
        <w:ind w:firstLine="426"/>
        <w:jc w:val="both"/>
        <w:rPr>
          <w:rFonts w:cs="Erie_Lightpl"/>
        </w:rPr>
      </w:pPr>
      <w:r w:rsidRPr="00EF2853">
        <w:t>Projektuje się oświetlenie awaryjne dla stref otwartych i dróg ewakuacyjnych oraz w pomieszczeniach wystawowych muzeum</w:t>
      </w:r>
      <w:r w:rsidR="00531822" w:rsidRPr="00EF2853">
        <w:t xml:space="preserve"> zgodnie z </w:t>
      </w:r>
      <w:r w:rsidR="00531822" w:rsidRPr="00EF2853">
        <w:rPr>
          <w:rFonts w:cs="Arial Narrow"/>
        </w:rPr>
        <w:t>Rozporządzeniem Ministra Infrastruktury w sprawie warunków technicznych, jakim powinny odpowiadać budynki i ich usytuowanie (Dz.U. 2022 poz. 1225)</w:t>
      </w:r>
      <w:r w:rsidRPr="00EF2853">
        <w:t xml:space="preserve">. </w:t>
      </w:r>
      <w:r w:rsidR="00E229A8" w:rsidRPr="00EF2853">
        <w:t xml:space="preserve">Oprawy oświetleniowe awaryjne muszą posiadać świadectwo dopuszczenia CNBOP. </w:t>
      </w:r>
    </w:p>
    <w:p w:rsidR="00B4600A" w:rsidRPr="00EF2853" w:rsidRDefault="00B4600A" w:rsidP="00B4600A">
      <w:pPr>
        <w:pStyle w:val="Nagwek2"/>
        <w:rPr>
          <w:lang w:val="pl-PL"/>
        </w:rPr>
      </w:pPr>
      <w:bookmarkStart w:id="18" w:name="_Toc81480898"/>
      <w:bookmarkStart w:id="19" w:name="_Toc174128435"/>
      <w:r w:rsidRPr="00EF2853">
        <w:rPr>
          <w:lang w:val="pl-PL"/>
        </w:rPr>
        <w:t>4.2 Oświetlenie dróg ewakuacji</w:t>
      </w:r>
      <w:bookmarkEnd w:id="18"/>
      <w:bookmarkEnd w:id="19"/>
    </w:p>
    <w:p w:rsidR="00B4600A" w:rsidRPr="00812CAF" w:rsidRDefault="00B4600A" w:rsidP="00B4600A">
      <w:pPr>
        <w:autoSpaceDE w:val="0"/>
        <w:autoSpaceDN w:val="0"/>
        <w:adjustRightInd w:val="0"/>
        <w:spacing w:line="240" w:lineRule="auto"/>
        <w:ind w:firstLine="426"/>
        <w:jc w:val="both"/>
        <w:rPr>
          <w:rFonts w:cs="Erie_Lightpl"/>
        </w:rPr>
      </w:pPr>
      <w:r w:rsidRPr="00812CAF">
        <w:rPr>
          <w:rFonts w:cs="Erie_Lightpl"/>
        </w:rPr>
        <w:t>Oświetlenie dróg ewakuacyjnych należy wykonywać zgodnie z postanowieniami normy PN-EN 1838</w:t>
      </w:r>
      <w:r w:rsidR="00B502AD">
        <w:rPr>
          <w:rFonts w:cs="Erie_Lightpl"/>
        </w:rPr>
        <w:t>:2013</w:t>
      </w:r>
      <w:r w:rsidRPr="00812CAF">
        <w:rPr>
          <w:rFonts w:cs="Erie_Lightpl"/>
        </w:rPr>
        <w:t>.</w:t>
      </w:r>
    </w:p>
    <w:p w:rsidR="00B4600A" w:rsidRPr="00EF2853" w:rsidRDefault="00B4600A" w:rsidP="00B4600A">
      <w:pPr>
        <w:autoSpaceDE w:val="0"/>
        <w:autoSpaceDN w:val="0"/>
        <w:adjustRightInd w:val="0"/>
        <w:spacing w:line="240" w:lineRule="auto"/>
        <w:jc w:val="both"/>
        <w:rPr>
          <w:rFonts w:cs="Erie_Lightpl"/>
        </w:rPr>
      </w:pPr>
      <w:r w:rsidRPr="00812CAF">
        <w:rPr>
          <w:rFonts w:cs="Erie_Lightpl"/>
        </w:rPr>
        <w:t>Oświetlenie awaryjne realizuje również funkcję oznakowania ewakuacyjnego kierunkowego — wskazującego jednoznacznie drogi, kierunki i wyjścia ewakuacyjne. Znaki oświetlenia awaryjnego musza się świecić w sposób ciągły.</w:t>
      </w:r>
    </w:p>
    <w:p w:rsidR="00B4600A" w:rsidRPr="00EF2853" w:rsidRDefault="00B4600A" w:rsidP="00B4600A">
      <w:pPr>
        <w:autoSpaceDE w:val="0"/>
        <w:autoSpaceDN w:val="0"/>
        <w:adjustRightInd w:val="0"/>
        <w:spacing w:line="240" w:lineRule="auto"/>
        <w:ind w:firstLine="426"/>
        <w:jc w:val="both"/>
        <w:rPr>
          <w:rFonts w:cs="Erie_Lightpl"/>
        </w:rPr>
      </w:pPr>
      <w:r w:rsidRPr="00EF2853">
        <w:rPr>
          <w:rFonts w:cs="Erie_Lightpl"/>
        </w:rPr>
        <w:t xml:space="preserve">Na ścianach i drzwiach dróg ewakuacyjnych </w:t>
      </w:r>
      <w:r w:rsidR="000D699E" w:rsidRPr="00EF2853">
        <w:rPr>
          <w:rFonts w:cs="Erie_Lightpl"/>
        </w:rPr>
        <w:t>znajdują się</w:t>
      </w:r>
      <w:r w:rsidRPr="00EF2853">
        <w:rPr>
          <w:rFonts w:cs="Erie_Lightpl"/>
        </w:rPr>
        <w:t xml:space="preserve"> piktogramy</w:t>
      </w:r>
      <w:r w:rsidR="000D699E" w:rsidRPr="00EF2853">
        <w:rPr>
          <w:rFonts w:cs="Erie_Lightpl"/>
        </w:rPr>
        <w:t xml:space="preserve"> według planu ewakuacji budynku</w:t>
      </w:r>
      <w:r w:rsidRPr="00EF2853">
        <w:rPr>
          <w:rFonts w:cs="Erie_Lightpl"/>
        </w:rPr>
        <w:t xml:space="preserve">. Wszystkie piktogramy </w:t>
      </w:r>
      <w:r w:rsidR="000D699E" w:rsidRPr="00EF2853">
        <w:rPr>
          <w:rFonts w:cs="Erie_Lightpl"/>
        </w:rPr>
        <w:t>są umieszczone</w:t>
      </w:r>
      <w:r w:rsidRPr="00EF2853">
        <w:rPr>
          <w:rFonts w:cs="Erie_Lightpl"/>
        </w:rPr>
        <w:t xml:space="preserve"> w taki sposób, by można je było łatwo odczytać, bez względu na wszelkie inne występujące oznakowanie, obiekty i inne.</w:t>
      </w:r>
      <w:r w:rsidR="000D699E" w:rsidRPr="00EF2853">
        <w:rPr>
          <w:rFonts w:cs="Erie_Lightpl"/>
        </w:rPr>
        <w:t xml:space="preserve"> Nie jest konieczne aby piktogramy wskazujące kierunek ewakuacji były umieszczone na oprawie awaryjnej, w pomieszczeniach w których się one znajdują projektuje się oświetlenie awaryjne, które wystarczająco oświetli dany piktogram w chwili zaniku </w:t>
      </w:r>
      <w:r w:rsidR="00E229A8" w:rsidRPr="00EF2853">
        <w:rPr>
          <w:rFonts w:cs="Erie_Lightpl"/>
        </w:rPr>
        <w:t xml:space="preserve">zasilania podstawowego. </w:t>
      </w:r>
    </w:p>
    <w:p w:rsidR="00B4600A" w:rsidRPr="00EF2853" w:rsidRDefault="00B4600A" w:rsidP="00B4600A">
      <w:pPr>
        <w:autoSpaceDE w:val="0"/>
        <w:autoSpaceDN w:val="0"/>
        <w:adjustRightInd w:val="0"/>
        <w:spacing w:line="240" w:lineRule="auto"/>
        <w:ind w:firstLine="426"/>
        <w:jc w:val="both"/>
        <w:rPr>
          <w:rFonts w:cs="Erie_Lightpl"/>
        </w:rPr>
      </w:pPr>
      <w:r w:rsidRPr="00EF2853">
        <w:rPr>
          <w:rFonts w:cs="Erie_Lightpl"/>
        </w:rPr>
        <w:t>Najważniejsze wymagania stawiane poszczególnym rodzajom oświetlenia drogi ewakuacyjnej:</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EF2853">
        <w:rPr>
          <w:rFonts w:cs="Erie_Lightpl"/>
        </w:rPr>
        <w:t>średnie natężenie oświetlenia mierzone na podłożu wzdłuż środkowej linii drogi ewakuacyjnej – min.</w:t>
      </w:r>
      <w:r w:rsidR="00671867" w:rsidRPr="00EF2853">
        <w:rPr>
          <w:rFonts w:cs="Erie_Lightpl"/>
        </w:rPr>
        <w:t> </w:t>
      </w:r>
      <w:r w:rsidRPr="00EF2853">
        <w:rPr>
          <w:rFonts w:cs="Erie_Lightpl"/>
        </w:rPr>
        <w:t>2 lx, a w centralnym pasie drogi, obejmującym nie mniej niż połowę szerokości drogi – co najmniej 0,5</w:t>
      </w:r>
      <w:r w:rsidR="00671867" w:rsidRPr="00EF2853">
        <w:rPr>
          <w:rFonts w:cs="Erie_Lightpl"/>
        </w:rPr>
        <w:t> </w:t>
      </w:r>
      <w:r w:rsidRPr="00EF2853">
        <w:rPr>
          <w:rFonts w:cs="Erie_Lightpl"/>
        </w:rPr>
        <w:t>lx; powyższe dotyczy dróg o szerokości do 2 m; szersze drogi ewakuacyjne należy traktować</w:t>
      </w:r>
      <w:r w:rsidRPr="003648A1">
        <w:rPr>
          <w:rFonts w:cs="Erie_Lightpl"/>
        </w:rPr>
        <w:t xml:space="preserve"> jako kilka dróg ewakuacyjnych lub należy je oświetlać jak strefy otwarte;</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3648A1">
        <w:rPr>
          <w:rFonts w:cs="Erie_Lightpl"/>
        </w:rPr>
        <w:lastRenderedPageBreak/>
        <w:t>stosunek maksymalnego natężenia oświetlenia do minimalnego natężenia oświetlenia mierzony wzdłuż centralnej linii drogi ewakuacyjnej nie powinien być większy niż 40:1,</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3648A1">
        <w:rPr>
          <w:rFonts w:cs="Erie_Lightpl"/>
        </w:rPr>
        <w:t>olśnienie przeszkadzające powinno być utrzymane na niskim poziomie;</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3648A1">
        <w:rPr>
          <w:rFonts w:cs="Erie_Lightpl"/>
        </w:rPr>
        <w:t>wskaźnik oddawania barw źródeł światła Ra min. 40;</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3648A1">
        <w:rPr>
          <w:rFonts w:cs="Erie_Lightpl"/>
        </w:rPr>
        <w:t>minimalny czas stosowania oświetlenia minimum 1 godzina;</w:t>
      </w:r>
    </w:p>
    <w:p w:rsidR="00B4600A" w:rsidRPr="003648A1" w:rsidRDefault="00B4600A" w:rsidP="00B4600A">
      <w:pPr>
        <w:pStyle w:val="Akapitzlist"/>
        <w:numPr>
          <w:ilvl w:val="0"/>
          <w:numId w:val="38"/>
        </w:numPr>
        <w:autoSpaceDE w:val="0"/>
        <w:autoSpaceDN w:val="0"/>
        <w:adjustRightInd w:val="0"/>
        <w:spacing w:line="240" w:lineRule="auto"/>
        <w:jc w:val="both"/>
        <w:rPr>
          <w:rFonts w:cs="Erie_Lightpl"/>
        </w:rPr>
      </w:pPr>
      <w:r w:rsidRPr="003648A1">
        <w:rPr>
          <w:rFonts w:cs="Erie_Lightpl"/>
        </w:rPr>
        <w:t>50% wymaganego natężenia oświetlenia powinno być wytworzone w ciągu 5 sekund a 100% wymaganego natężenia oświetlenia w ciągu 60 sekund od zaniku zasilania podstawowego.</w:t>
      </w:r>
    </w:p>
    <w:p w:rsidR="00B4600A" w:rsidRPr="00812CAF" w:rsidRDefault="00B4600A" w:rsidP="00B4600A">
      <w:pPr>
        <w:autoSpaceDE w:val="0"/>
        <w:autoSpaceDN w:val="0"/>
        <w:adjustRightInd w:val="0"/>
        <w:spacing w:line="240" w:lineRule="auto"/>
        <w:ind w:firstLine="426"/>
        <w:jc w:val="both"/>
        <w:rPr>
          <w:rFonts w:cs="Erie_Lightpl"/>
        </w:rPr>
      </w:pPr>
      <w:r>
        <w:rPr>
          <w:rFonts w:cs="Erie_Lightpl"/>
        </w:rPr>
        <w:t>Ponad to należy wyposażyć drogi ewakuacyjne w podświetlane znaki wskazujące kierunki ewakuacji działające w trybie ciągłym i awaryjnym.</w:t>
      </w:r>
    </w:p>
    <w:p w:rsidR="00B4600A" w:rsidRPr="00B5422C" w:rsidRDefault="00B4600A" w:rsidP="00B4600A">
      <w:pPr>
        <w:pStyle w:val="Nagwek2"/>
        <w:rPr>
          <w:lang w:val="pl-PL"/>
        </w:rPr>
      </w:pPr>
      <w:bookmarkStart w:id="20" w:name="_Toc81480899"/>
      <w:bookmarkStart w:id="21" w:name="_Toc174128436"/>
      <w:r>
        <w:rPr>
          <w:lang w:val="pl-PL"/>
        </w:rPr>
        <w:t>4.</w:t>
      </w:r>
      <w:r w:rsidRPr="00B5422C">
        <w:rPr>
          <w:lang w:val="pl-PL"/>
        </w:rPr>
        <w:t>3 Oświetlenie strefy otwartej</w:t>
      </w:r>
      <w:bookmarkEnd w:id="20"/>
      <w:bookmarkEnd w:id="21"/>
    </w:p>
    <w:p w:rsidR="00B4600A" w:rsidRDefault="00B4600A" w:rsidP="00B4600A">
      <w:pPr>
        <w:ind w:firstLine="426"/>
        <w:jc w:val="both"/>
        <w:rPr>
          <w:rFonts w:cs="Erie_Lightpl"/>
        </w:rPr>
      </w:pPr>
      <w:r>
        <w:rPr>
          <w:rFonts w:cs="Erie_Lightpl"/>
        </w:rPr>
        <w:t>Zadaniem oświetlenia strefy otwartej jest uniknięcie paniki i umożliwienie bezpiecznego ruchu osób do miejsca, z którego droga ewakuacyjna może być rozpoznana. Za strefę otwartą uważa się strefę o nieokreślonej drodze ewakuacyjnej (np. hall) o powierzchni podłogi większej niż 60 m</w:t>
      </w:r>
      <w:r>
        <w:rPr>
          <w:rFonts w:cs="Erie_Lightpl"/>
          <w:vertAlign w:val="superscript"/>
        </w:rPr>
        <w:t>2</w:t>
      </w:r>
      <w:r>
        <w:rPr>
          <w:rFonts w:cs="Erie_Lightpl"/>
        </w:rPr>
        <w:t xml:space="preserve"> albo powierzchni mniejszej, w przypadku gdy występują zagrożenia związane z wykorzystaniem tej powierzchni przez dużą grupę osób. </w:t>
      </w:r>
    </w:p>
    <w:p w:rsidR="00B4600A" w:rsidRPr="0016727F" w:rsidRDefault="00B4600A" w:rsidP="00B4600A">
      <w:pPr>
        <w:ind w:firstLine="426"/>
        <w:jc w:val="both"/>
        <w:rPr>
          <w:rFonts w:cs="Erie_Lightpl"/>
        </w:rPr>
      </w:pPr>
      <w:r>
        <w:rPr>
          <w:rFonts w:cs="Erie_Lightpl"/>
        </w:rPr>
        <w:t>Najważniejsze wymagania stawiane poszczególnym rodzajom oświetlenia strefy otwartej:</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średnie natężenie oświetlenia mierzone na poziomie podłogi, na niezabudowanym</w:t>
      </w:r>
      <w:r>
        <w:rPr>
          <w:rFonts w:cs="Erie_Lightpl"/>
        </w:rPr>
        <w:t xml:space="preserve"> polu czynnej strefy otwartej </w:t>
      </w:r>
      <w:r w:rsidRPr="003648A1">
        <w:rPr>
          <w:rFonts w:cs="Erie_Lightpl"/>
        </w:rPr>
        <w:t>z wyłączeniem obwodowego pasa o szerokości 0,5 m, powinno wynosić minimum 0,5 lx;</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stosunek maksymalnego natężenia oświetlenia do minimalnego natężenia oświetlenia mierzony wzdłuż centralnej linii drogi ewakuacyjnej nie powinien być większy niż 40:1,</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olśnienie przeszkadzające powinno być utrzymane na niskim poziomie;</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wskaźnik oddawania barw źródeł światła Ra min. 40;</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minimalny czas stosowania oświetlenia minimum 1 godzina;</w:t>
      </w:r>
    </w:p>
    <w:p w:rsidR="00B4600A" w:rsidRPr="003648A1" w:rsidRDefault="00B4600A" w:rsidP="00B4600A">
      <w:pPr>
        <w:pStyle w:val="Akapitzlist"/>
        <w:numPr>
          <w:ilvl w:val="0"/>
          <w:numId w:val="39"/>
        </w:numPr>
        <w:autoSpaceDE w:val="0"/>
        <w:autoSpaceDN w:val="0"/>
        <w:adjustRightInd w:val="0"/>
        <w:spacing w:line="240" w:lineRule="auto"/>
        <w:jc w:val="both"/>
        <w:rPr>
          <w:rFonts w:cs="Erie_Lightpl"/>
        </w:rPr>
      </w:pPr>
      <w:r w:rsidRPr="003648A1">
        <w:rPr>
          <w:rFonts w:cs="Erie_Lightpl"/>
        </w:rPr>
        <w:t>50% wymaganego natężenia oświetlenia powinno być wytworzone w ciągu 5 sekund a 100% wymaganego natężenia oświetlenia w ciągu 60 sekund od zaniku zasilania podstawowego.</w:t>
      </w:r>
    </w:p>
    <w:p w:rsidR="00B4600A" w:rsidRDefault="00B4600A" w:rsidP="00B4600A">
      <w:pPr>
        <w:autoSpaceDE w:val="0"/>
        <w:autoSpaceDN w:val="0"/>
        <w:adjustRightInd w:val="0"/>
        <w:spacing w:line="240" w:lineRule="auto"/>
        <w:ind w:firstLine="426"/>
        <w:jc w:val="both"/>
        <w:rPr>
          <w:rFonts w:cs="Erie_Lightpl"/>
        </w:rPr>
      </w:pPr>
      <w:r>
        <w:rPr>
          <w:rFonts w:cs="Erie_Lightpl"/>
        </w:rPr>
        <w:t xml:space="preserve">Ponadto </w:t>
      </w:r>
      <w:r w:rsidRPr="003648A1">
        <w:rPr>
          <w:rFonts w:cs="Erie_Lightpl"/>
        </w:rPr>
        <w:t>zgodnie z postanowieniami ogólnymi normy PN-EN 1838</w:t>
      </w:r>
      <w:r w:rsidR="00B502AD">
        <w:rPr>
          <w:rFonts w:cs="Erie_Lightpl"/>
        </w:rPr>
        <w:t>:13</w:t>
      </w:r>
      <w:r w:rsidRPr="003648A1">
        <w:rPr>
          <w:rFonts w:cs="Erie_Lightpl"/>
        </w:rPr>
        <w:t xml:space="preserve"> przy wykonawstwie należy zachować poniższe warunki</w:t>
      </w:r>
      <w:r>
        <w:rPr>
          <w:rFonts w:cs="Erie_Lightpl"/>
        </w:rPr>
        <w:t>:</w:t>
      </w:r>
    </w:p>
    <w:p w:rsidR="00B4600A" w:rsidRPr="003648A1" w:rsidRDefault="00B4600A" w:rsidP="00B4600A">
      <w:pPr>
        <w:pStyle w:val="Akapitzlist"/>
        <w:numPr>
          <w:ilvl w:val="0"/>
          <w:numId w:val="40"/>
        </w:numPr>
        <w:autoSpaceDE w:val="0"/>
        <w:autoSpaceDN w:val="0"/>
        <w:adjustRightInd w:val="0"/>
        <w:spacing w:line="240" w:lineRule="auto"/>
        <w:jc w:val="both"/>
        <w:rPr>
          <w:rFonts w:cs="Erie_Lightpl"/>
        </w:rPr>
      </w:pPr>
      <w:r w:rsidRPr="003648A1">
        <w:rPr>
          <w:rFonts w:cs="Erie_Lightpl"/>
        </w:rPr>
        <w:t>minimalna wysokość montowania opraw oświetleniowych powinna wynosić minimum 2 m nad powierzchnią podłogi,</w:t>
      </w:r>
    </w:p>
    <w:p w:rsidR="00B4600A" w:rsidRPr="003648A1" w:rsidRDefault="00B4600A" w:rsidP="00B4600A">
      <w:pPr>
        <w:pStyle w:val="Akapitzlist"/>
        <w:numPr>
          <w:ilvl w:val="0"/>
          <w:numId w:val="40"/>
        </w:numPr>
        <w:autoSpaceDE w:val="0"/>
        <w:autoSpaceDN w:val="0"/>
        <w:adjustRightInd w:val="0"/>
        <w:spacing w:line="240" w:lineRule="auto"/>
        <w:jc w:val="both"/>
        <w:rPr>
          <w:rFonts w:cs="Erie_Lightpl"/>
        </w:rPr>
      </w:pPr>
      <w:r w:rsidRPr="003648A1">
        <w:rPr>
          <w:rFonts w:cs="Erie_Lightpl"/>
        </w:rPr>
        <w:t>wszystkie znaki umieszczone nad wyjściami ewakuacyjnymi oraz wzdłuż dróg ewakuacyjnych powinny jednoznacznie wskazać drogę ewakuacji do bezpiecznego miejsca,</w:t>
      </w:r>
    </w:p>
    <w:p w:rsidR="00531822" w:rsidRPr="00EF2853" w:rsidRDefault="00B4600A" w:rsidP="005233BF">
      <w:pPr>
        <w:autoSpaceDE w:val="0"/>
        <w:autoSpaceDN w:val="0"/>
        <w:adjustRightInd w:val="0"/>
        <w:spacing w:line="240" w:lineRule="auto"/>
        <w:ind w:firstLine="426"/>
        <w:jc w:val="both"/>
        <w:rPr>
          <w:rFonts w:cs="Erie_Lightpl"/>
        </w:rPr>
      </w:pPr>
      <w:r w:rsidRPr="00EF2853">
        <w:rPr>
          <w:rFonts w:cs="Erie_Lightpl"/>
        </w:rPr>
        <w:t>Natężenie oświetlenia na podłodze w odległości do 2 m od punktów pierwszej pomocy oraz każdego urządzenia przeciwpożarowego i przycisku alarmowego, które to znajdują się poza drogą ewakuacyjną lub poza strefą otwartą, powinno być nie mniejsze niż 5 lx.</w:t>
      </w:r>
    </w:p>
    <w:p w:rsidR="00B4600A" w:rsidRPr="00EF2853" w:rsidRDefault="00531822" w:rsidP="00B4600A">
      <w:pPr>
        <w:pStyle w:val="Nagwek2"/>
        <w:rPr>
          <w:lang w:val="pl-PL"/>
        </w:rPr>
      </w:pPr>
      <w:bookmarkStart w:id="22" w:name="_Toc174128437"/>
      <w:r w:rsidRPr="00EF2853">
        <w:rPr>
          <w:lang w:val="pl-PL"/>
        </w:rPr>
        <w:t>4.4</w:t>
      </w:r>
      <w:r w:rsidR="00B4600A" w:rsidRPr="00EF2853">
        <w:rPr>
          <w:lang w:val="pl-PL"/>
        </w:rPr>
        <w:t xml:space="preserve"> </w:t>
      </w:r>
      <w:r w:rsidR="00D82CBC" w:rsidRPr="00EF2853">
        <w:rPr>
          <w:lang w:val="pl-PL"/>
        </w:rPr>
        <w:t>Sposób montażu i u</w:t>
      </w:r>
      <w:r w:rsidR="00B4600A" w:rsidRPr="00EF2853">
        <w:rPr>
          <w:lang w:val="pl-PL"/>
        </w:rPr>
        <w:t>wagi montażowe</w:t>
      </w:r>
      <w:bookmarkEnd w:id="22"/>
    </w:p>
    <w:p w:rsidR="0001750E" w:rsidRPr="00EF2853" w:rsidRDefault="005C258B" w:rsidP="003315CD">
      <w:pPr>
        <w:autoSpaceDE w:val="0"/>
        <w:autoSpaceDN w:val="0"/>
        <w:adjustRightInd w:val="0"/>
        <w:spacing w:line="240" w:lineRule="auto"/>
        <w:ind w:firstLine="426"/>
        <w:jc w:val="both"/>
        <w:rPr>
          <w:rFonts w:cs="Erie_Lightpl"/>
        </w:rPr>
      </w:pPr>
      <w:r>
        <w:rPr>
          <w:rFonts w:cs="Erie_Lightpl"/>
        </w:rPr>
        <w:t>Projekt przewiduje w</w:t>
      </w:r>
      <w:r w:rsidR="003315CD">
        <w:rPr>
          <w:rFonts w:cs="Erie_Lightpl"/>
        </w:rPr>
        <w:t>ymianę wszystkich opraw awaryjnych w tym celu, p</w:t>
      </w:r>
      <w:r w:rsidR="00531822" w:rsidRPr="00EF2853">
        <w:rPr>
          <w:rFonts w:cs="Erie_Lightpl"/>
        </w:rPr>
        <w:t>rojektuje się oświetlenie awaryjne w budyn</w:t>
      </w:r>
      <w:r w:rsidR="00EF2853">
        <w:rPr>
          <w:rFonts w:cs="Erie_Lightpl"/>
        </w:rPr>
        <w:t xml:space="preserve">ku </w:t>
      </w:r>
      <w:r w:rsidR="00531822" w:rsidRPr="00EF2853">
        <w:rPr>
          <w:rFonts w:cs="Erie_Lightpl"/>
        </w:rPr>
        <w:t>Villi Intrata. W Villi Intrata obecne jest oświetlenie awaryjne</w:t>
      </w:r>
      <w:r w:rsidR="00964F67">
        <w:rPr>
          <w:rFonts w:cs="Erie_Lightpl"/>
        </w:rPr>
        <w:t xml:space="preserve"> i ewakuacyjne</w:t>
      </w:r>
      <w:r w:rsidR="00531822" w:rsidRPr="00EF2853">
        <w:rPr>
          <w:rFonts w:cs="Erie_Lightpl"/>
        </w:rPr>
        <w:t>. Nowe oprawy oświetlenia awaryjnego</w:t>
      </w:r>
      <w:r w:rsidR="0001750E" w:rsidRPr="00EF2853">
        <w:rPr>
          <w:rFonts w:cs="Erie_Lightpl"/>
        </w:rPr>
        <w:t xml:space="preserve"> </w:t>
      </w:r>
      <w:r w:rsidR="00964F67">
        <w:rPr>
          <w:rFonts w:cs="Erie_Lightpl"/>
        </w:rPr>
        <w:t xml:space="preserve">i ewakuacyjnego </w:t>
      </w:r>
      <w:r w:rsidR="0001750E" w:rsidRPr="00EF2853">
        <w:rPr>
          <w:rFonts w:cs="Erie_Lightpl"/>
        </w:rPr>
        <w:t>instalowane na sufitach,</w:t>
      </w:r>
      <w:r w:rsidR="00531822" w:rsidRPr="00EF2853">
        <w:rPr>
          <w:rFonts w:cs="Erie_Lightpl"/>
        </w:rPr>
        <w:t xml:space="preserve"> </w:t>
      </w:r>
      <w:r w:rsidR="0001750E" w:rsidRPr="00EF2853">
        <w:rPr>
          <w:rFonts w:cs="Erie_Lightpl"/>
        </w:rPr>
        <w:t>należy podłączyć do istniejącego obwodu. Na planie instalacji w budynku Villi Intrata oznaczono nowe oprawy oraz istniejące.</w:t>
      </w:r>
      <w:r w:rsidR="0036419A">
        <w:rPr>
          <w:rFonts w:cs="Erie_Lightpl"/>
        </w:rPr>
        <w:t xml:space="preserve"> </w:t>
      </w:r>
      <w:r w:rsidR="0001750E">
        <w:rPr>
          <w:rFonts w:cs="Erie_Lightpl"/>
        </w:rPr>
        <w:t>Będą to oprawy</w:t>
      </w:r>
      <w:r w:rsidR="00882216">
        <w:rPr>
          <w:rFonts w:cs="Erie_Lightpl"/>
        </w:rPr>
        <w:t xml:space="preserve"> z autotestem,</w:t>
      </w:r>
      <w:r w:rsidR="0001750E">
        <w:rPr>
          <w:rFonts w:cs="Erie_Lightpl"/>
        </w:rPr>
        <w:t xml:space="preserve"> </w:t>
      </w:r>
      <w:r w:rsidR="00464154">
        <w:rPr>
          <w:rFonts w:cs="Erie_Lightpl"/>
        </w:rPr>
        <w:t>nastrop</w:t>
      </w:r>
      <w:r w:rsidR="00882216">
        <w:rPr>
          <w:rFonts w:cs="Erie_Lightpl"/>
        </w:rPr>
        <w:t>owe/naścienne z</w:t>
      </w:r>
      <w:r w:rsidR="00671867">
        <w:rPr>
          <w:rFonts w:cs="Erie_Lightpl"/>
        </w:rPr>
        <w:t> </w:t>
      </w:r>
      <w:r w:rsidR="00882216">
        <w:rPr>
          <w:rFonts w:cs="Erie_Lightpl"/>
        </w:rPr>
        <w:t>akumulatorem 1</w:t>
      </w:r>
      <w:r w:rsidR="00464154">
        <w:rPr>
          <w:rFonts w:cs="Erie_Lightpl"/>
        </w:rPr>
        <w:t>Ah, o</w:t>
      </w:r>
      <w:r w:rsidR="00882216">
        <w:rPr>
          <w:rFonts w:cs="Erie_Lightpl"/>
        </w:rPr>
        <w:t xml:space="preserve"> mocy 1,7</w:t>
      </w:r>
      <w:r w:rsidR="00464154">
        <w:rPr>
          <w:rFonts w:cs="Erie_Lightpl"/>
        </w:rPr>
        <w:t xml:space="preserve">W, umożliwiające pomalowanie ich kolorem farb ściennych. </w:t>
      </w:r>
      <w:r w:rsidR="00464154" w:rsidRPr="005E42DD">
        <w:rPr>
          <w:rFonts w:cs="Erie_Lightpl"/>
        </w:rPr>
        <w:t xml:space="preserve">Obwody oświetleniowe należy wykonać </w:t>
      </w:r>
      <w:r w:rsidR="00464154">
        <w:rPr>
          <w:rFonts w:cs="Erie_Lightpl"/>
        </w:rPr>
        <w:t>przewodami N2XH 3</w:t>
      </w:r>
      <w:r w:rsidR="00464154" w:rsidRPr="003648A1">
        <w:rPr>
          <w:rFonts w:cs="Erie_Lightpl"/>
        </w:rPr>
        <w:t>x1,5 mm2</w:t>
      </w:r>
      <w:r w:rsidR="00464154" w:rsidRPr="005E42DD">
        <w:rPr>
          <w:rFonts w:cs="Erie_Lightpl"/>
        </w:rPr>
        <w:t xml:space="preserve"> ułożonymi w </w:t>
      </w:r>
      <w:r w:rsidR="00464154">
        <w:rPr>
          <w:rFonts w:cs="Erie_Lightpl"/>
        </w:rPr>
        <w:t>rurkach instalacyjnych prowadzonych podtynkowo</w:t>
      </w:r>
      <w:r w:rsidR="00464154" w:rsidRPr="005E42DD">
        <w:rPr>
          <w:rFonts w:cs="Erie_Lightpl"/>
        </w:rPr>
        <w:t>.</w:t>
      </w:r>
      <w:r w:rsidR="00464154" w:rsidRPr="00464154">
        <w:rPr>
          <w:rFonts w:cs="Erie_Lightpl"/>
        </w:rPr>
        <w:t xml:space="preserve"> </w:t>
      </w:r>
      <w:r w:rsidR="00464154" w:rsidRPr="005E42DD">
        <w:rPr>
          <w:rFonts w:cs="Erie_Lightpl"/>
        </w:rPr>
        <w:t xml:space="preserve">Trasa prowadzenia przewodów zasilających powinna przebiegać </w:t>
      </w:r>
      <w:r w:rsidR="00464154">
        <w:rPr>
          <w:rFonts w:cs="Erie_Lightpl"/>
        </w:rPr>
        <w:t xml:space="preserve">możliwie </w:t>
      </w:r>
      <w:r w:rsidR="00464154" w:rsidRPr="005E42DD">
        <w:rPr>
          <w:rFonts w:cs="Erie_Lightpl"/>
        </w:rPr>
        <w:t xml:space="preserve">w linii prostej, nie </w:t>
      </w:r>
      <w:r w:rsidR="00464154">
        <w:rPr>
          <w:rFonts w:cs="Erie_Lightpl"/>
        </w:rPr>
        <w:t>powinno się</w:t>
      </w:r>
      <w:r w:rsidR="00464154" w:rsidRPr="005E42DD">
        <w:rPr>
          <w:rFonts w:cs="Erie_Lightpl"/>
        </w:rPr>
        <w:t xml:space="preserve"> prowadzić przewodów w liniach ukośnych.</w:t>
      </w:r>
      <w:r w:rsidR="00464154">
        <w:rPr>
          <w:rFonts w:cs="Erie_Lightpl"/>
        </w:rPr>
        <w:t xml:space="preserve"> </w:t>
      </w:r>
      <w:r w:rsidR="00464154" w:rsidRPr="005E42DD">
        <w:rPr>
          <w:rFonts w:cs="Erie_Lightpl"/>
        </w:rPr>
        <w:t>Odległości prowadzonyc</w:t>
      </w:r>
      <w:r w:rsidR="00464154">
        <w:rPr>
          <w:rFonts w:cs="Erie_Lightpl"/>
        </w:rPr>
        <w:t>h linii od okien, drzwi, sufitu</w:t>
      </w:r>
      <w:r w:rsidR="00464154" w:rsidRPr="005E42DD">
        <w:rPr>
          <w:rFonts w:cs="Erie_Lightpl"/>
        </w:rPr>
        <w:t xml:space="preserve"> i podłogi należy zachować zgodnie z obowiązującymi przepisani oraz normami: PN-HD 60364 i</w:t>
      </w:r>
      <w:r w:rsidR="00644CD4">
        <w:rPr>
          <w:rFonts w:cs="Erie_Lightpl"/>
        </w:rPr>
        <w:t xml:space="preserve"> </w:t>
      </w:r>
      <w:r w:rsidR="00464154" w:rsidRPr="005E42DD">
        <w:rPr>
          <w:rFonts w:cs="Erie_Lightpl"/>
        </w:rPr>
        <w:t>P SEP-E-002.</w:t>
      </w:r>
    </w:p>
    <w:p w:rsidR="00464154" w:rsidRDefault="00B4600A" w:rsidP="00111EB0">
      <w:pPr>
        <w:autoSpaceDE w:val="0"/>
        <w:autoSpaceDN w:val="0"/>
        <w:adjustRightInd w:val="0"/>
        <w:spacing w:line="240" w:lineRule="auto"/>
        <w:ind w:firstLine="426"/>
        <w:jc w:val="both"/>
        <w:rPr>
          <w:rFonts w:cs="Erie_Lightpl"/>
        </w:rPr>
      </w:pPr>
      <w:r w:rsidRPr="005E42DD">
        <w:rPr>
          <w:rFonts w:cs="Erie_Lightpl"/>
        </w:rPr>
        <w:t>Oznaczenia oraz lokalizacja wypustów oświetleniowych</w:t>
      </w:r>
      <w:r>
        <w:rPr>
          <w:rFonts w:cs="Erie_Lightpl"/>
        </w:rPr>
        <w:t xml:space="preserve"> (opraw)</w:t>
      </w:r>
      <w:r w:rsidRPr="005E42DD">
        <w:rPr>
          <w:rFonts w:cs="Erie_Lightpl"/>
        </w:rPr>
        <w:t xml:space="preserve"> pokazana jest na planach rozmieszczenia</w:t>
      </w:r>
      <w:r w:rsidR="00464154">
        <w:rPr>
          <w:rFonts w:cs="Erie_Lightpl"/>
        </w:rPr>
        <w:t xml:space="preserve"> w Projekcie</w:t>
      </w:r>
      <w:r w:rsidR="002A4D4C">
        <w:rPr>
          <w:rFonts w:cs="Erie_Lightpl"/>
        </w:rPr>
        <w:t xml:space="preserve"> Technicznym</w:t>
      </w:r>
      <w:r w:rsidR="00464154">
        <w:rPr>
          <w:rFonts w:cs="Erie_Lightpl"/>
        </w:rPr>
        <w:t xml:space="preserve">. </w:t>
      </w:r>
    </w:p>
    <w:p w:rsidR="008C0136" w:rsidRDefault="008C0136" w:rsidP="00D82CBC">
      <w:pPr>
        <w:autoSpaceDE w:val="0"/>
        <w:autoSpaceDN w:val="0"/>
        <w:adjustRightInd w:val="0"/>
        <w:spacing w:line="240" w:lineRule="auto"/>
        <w:ind w:firstLine="426"/>
        <w:jc w:val="both"/>
        <w:rPr>
          <w:rFonts w:cs="Erie_Lightpl"/>
        </w:rPr>
      </w:pPr>
      <w:r>
        <w:rPr>
          <w:rFonts w:cs="Erie_Lightpl"/>
        </w:rPr>
        <w:t>Parametry oświetlenia awaryjnego ustalone z inwestorem:</w:t>
      </w:r>
    </w:p>
    <w:p w:rsidR="008C0136" w:rsidRDefault="008C0136" w:rsidP="008C0136">
      <w:pPr>
        <w:pStyle w:val="Akapitzlist"/>
        <w:numPr>
          <w:ilvl w:val="0"/>
          <w:numId w:val="41"/>
        </w:numPr>
        <w:autoSpaceDE w:val="0"/>
        <w:autoSpaceDN w:val="0"/>
        <w:adjustRightInd w:val="0"/>
        <w:spacing w:line="240" w:lineRule="auto"/>
        <w:jc w:val="both"/>
        <w:rPr>
          <w:rFonts w:cs="Erie_Lightpl"/>
        </w:rPr>
      </w:pPr>
      <w:r>
        <w:rPr>
          <w:rFonts w:cs="Erie_Lightpl"/>
        </w:rPr>
        <w:t>Czas działania opraw oświetlenia awaryjnego w całym obiekcie wynosi 3h,</w:t>
      </w:r>
    </w:p>
    <w:p w:rsidR="008C0136" w:rsidRDefault="008C0136" w:rsidP="008C0136">
      <w:pPr>
        <w:pStyle w:val="Akapitzlist"/>
        <w:numPr>
          <w:ilvl w:val="0"/>
          <w:numId w:val="41"/>
        </w:numPr>
        <w:autoSpaceDE w:val="0"/>
        <w:autoSpaceDN w:val="0"/>
        <w:adjustRightInd w:val="0"/>
        <w:spacing w:line="240" w:lineRule="auto"/>
        <w:jc w:val="both"/>
        <w:rPr>
          <w:rFonts w:cs="Erie_Lightpl"/>
        </w:rPr>
      </w:pPr>
      <w:r>
        <w:rPr>
          <w:rFonts w:cs="Erie_Lightpl"/>
        </w:rPr>
        <w:lastRenderedPageBreak/>
        <w:t>Oprawy posiadają świadectwo dopuszczenia CNBOP,</w:t>
      </w:r>
    </w:p>
    <w:p w:rsidR="008C0136" w:rsidRDefault="008C0136" w:rsidP="008C0136">
      <w:pPr>
        <w:pStyle w:val="Akapitzlist"/>
        <w:numPr>
          <w:ilvl w:val="0"/>
          <w:numId w:val="41"/>
        </w:numPr>
        <w:autoSpaceDE w:val="0"/>
        <w:autoSpaceDN w:val="0"/>
        <w:adjustRightInd w:val="0"/>
        <w:spacing w:line="240" w:lineRule="auto"/>
        <w:jc w:val="both"/>
        <w:rPr>
          <w:rFonts w:cs="Erie_Lightpl"/>
        </w:rPr>
      </w:pPr>
      <w:r>
        <w:rPr>
          <w:rFonts w:cs="Erie_Lightpl"/>
        </w:rPr>
        <w:t>Oprawy są oprawami LED-owymi,</w:t>
      </w:r>
    </w:p>
    <w:p w:rsidR="008C0136" w:rsidRDefault="008C0136" w:rsidP="008C0136">
      <w:pPr>
        <w:pStyle w:val="Akapitzlist"/>
        <w:numPr>
          <w:ilvl w:val="0"/>
          <w:numId w:val="41"/>
        </w:numPr>
        <w:autoSpaceDE w:val="0"/>
        <w:autoSpaceDN w:val="0"/>
        <w:adjustRightInd w:val="0"/>
        <w:spacing w:line="240" w:lineRule="auto"/>
        <w:jc w:val="both"/>
        <w:rPr>
          <w:rFonts w:cs="Erie_Lightpl"/>
        </w:rPr>
      </w:pPr>
      <w:r>
        <w:rPr>
          <w:rFonts w:cs="Erie_Lightpl"/>
        </w:rPr>
        <w:t>Zasilanie 230V 50Hz,</w:t>
      </w:r>
    </w:p>
    <w:p w:rsidR="008C0136" w:rsidRDefault="008C0136" w:rsidP="008C0136">
      <w:pPr>
        <w:pStyle w:val="Akapitzlist"/>
        <w:numPr>
          <w:ilvl w:val="0"/>
          <w:numId w:val="41"/>
        </w:numPr>
        <w:autoSpaceDE w:val="0"/>
        <w:autoSpaceDN w:val="0"/>
        <w:adjustRightInd w:val="0"/>
        <w:spacing w:line="240" w:lineRule="auto"/>
        <w:jc w:val="both"/>
        <w:rPr>
          <w:rFonts w:cs="Erie_Lightpl"/>
        </w:rPr>
      </w:pPr>
      <w:r>
        <w:rPr>
          <w:rFonts w:cs="Erie_Lightpl"/>
        </w:rPr>
        <w:t xml:space="preserve">Zgodne z normami </w:t>
      </w:r>
      <w:r w:rsidRPr="00812CAF">
        <w:rPr>
          <w:rFonts w:cs="Erie_Lightpl"/>
        </w:rPr>
        <w:t>PN-EN 1838</w:t>
      </w:r>
      <w:r w:rsidR="00B502AD">
        <w:rPr>
          <w:rFonts w:cs="Erie_Lightpl"/>
        </w:rPr>
        <w:t>:2013</w:t>
      </w:r>
      <w:r>
        <w:rPr>
          <w:rFonts w:cs="Erie_Lightpl"/>
        </w:rPr>
        <w:t xml:space="preserve"> i PN-EN 60598,</w:t>
      </w:r>
    </w:p>
    <w:p w:rsidR="008C0136" w:rsidRPr="00C77344" w:rsidRDefault="008C0136" w:rsidP="008C0136">
      <w:pPr>
        <w:pStyle w:val="Akapitzlist"/>
        <w:numPr>
          <w:ilvl w:val="0"/>
          <w:numId w:val="41"/>
        </w:numPr>
        <w:autoSpaceDE w:val="0"/>
        <w:autoSpaceDN w:val="0"/>
        <w:adjustRightInd w:val="0"/>
        <w:spacing w:line="240" w:lineRule="auto"/>
        <w:jc w:val="both"/>
        <w:rPr>
          <w:rFonts w:cs="Erie_Lightpl"/>
          <w:color w:val="000000" w:themeColor="text1"/>
        </w:rPr>
      </w:pPr>
      <w:r>
        <w:rPr>
          <w:rFonts w:cs="Erie_Lightpl"/>
        </w:rPr>
        <w:t xml:space="preserve">Są wyposażone w </w:t>
      </w:r>
      <w:r w:rsidRPr="00C77344">
        <w:rPr>
          <w:rFonts w:cs="Erie_Lightpl"/>
          <w:color w:val="000000" w:themeColor="text1"/>
        </w:rPr>
        <w:t>autotest AT,</w:t>
      </w:r>
    </w:p>
    <w:p w:rsidR="008C0136" w:rsidRPr="00C77344" w:rsidRDefault="008C0136" w:rsidP="008C0136">
      <w:pPr>
        <w:pStyle w:val="Akapitzlist"/>
        <w:numPr>
          <w:ilvl w:val="0"/>
          <w:numId w:val="41"/>
        </w:numPr>
        <w:autoSpaceDE w:val="0"/>
        <w:autoSpaceDN w:val="0"/>
        <w:adjustRightInd w:val="0"/>
        <w:spacing w:line="240" w:lineRule="auto"/>
        <w:jc w:val="both"/>
        <w:rPr>
          <w:rFonts w:cs="Erie_Lightpl"/>
          <w:color w:val="000000" w:themeColor="text1"/>
        </w:rPr>
      </w:pPr>
      <w:r w:rsidRPr="00C77344">
        <w:rPr>
          <w:rFonts w:cs="Erie_Lightpl"/>
          <w:color w:val="000000" w:themeColor="text1"/>
        </w:rPr>
        <w:t>Praca ciemna,</w:t>
      </w:r>
    </w:p>
    <w:p w:rsidR="008C0136" w:rsidRPr="00C77344" w:rsidRDefault="00951C7A" w:rsidP="008C0136">
      <w:pPr>
        <w:pStyle w:val="Akapitzlist"/>
        <w:numPr>
          <w:ilvl w:val="0"/>
          <w:numId w:val="41"/>
        </w:numPr>
        <w:autoSpaceDE w:val="0"/>
        <w:autoSpaceDN w:val="0"/>
        <w:adjustRightInd w:val="0"/>
        <w:spacing w:line="240" w:lineRule="auto"/>
        <w:jc w:val="both"/>
        <w:rPr>
          <w:rFonts w:cs="Erie_Lightpl"/>
          <w:color w:val="000000" w:themeColor="text1"/>
        </w:rPr>
      </w:pPr>
      <w:r>
        <w:rPr>
          <w:rFonts w:cs="Erie_Lightpl"/>
          <w:color w:val="000000" w:themeColor="text1"/>
        </w:rPr>
        <w:t xml:space="preserve">Kolor oprawy uzgodnić z </w:t>
      </w:r>
      <w:r w:rsidR="008C0136" w:rsidRPr="00C77344">
        <w:rPr>
          <w:rFonts w:cs="Erie_Lightpl"/>
          <w:color w:val="000000" w:themeColor="text1"/>
        </w:rPr>
        <w:t xml:space="preserve">WMKZ i Muzeum </w:t>
      </w:r>
    </w:p>
    <w:p w:rsidR="008C0136" w:rsidRPr="00C77344" w:rsidRDefault="008C0136" w:rsidP="008C0136">
      <w:pPr>
        <w:pStyle w:val="Akapitzlist"/>
        <w:numPr>
          <w:ilvl w:val="0"/>
          <w:numId w:val="41"/>
        </w:numPr>
        <w:autoSpaceDE w:val="0"/>
        <w:autoSpaceDN w:val="0"/>
        <w:adjustRightInd w:val="0"/>
        <w:spacing w:line="240" w:lineRule="auto"/>
        <w:jc w:val="both"/>
        <w:rPr>
          <w:rFonts w:cs="Erie_Lightpl"/>
          <w:color w:val="000000" w:themeColor="text1"/>
        </w:rPr>
      </w:pPr>
      <w:r w:rsidRPr="00C77344">
        <w:rPr>
          <w:rFonts w:cs="Erie_Lightpl"/>
          <w:color w:val="000000" w:themeColor="text1"/>
        </w:rPr>
        <w:t>Oprawy oświetlenia awaryjnego należy instalować do podłoża na trwale.</w:t>
      </w:r>
    </w:p>
    <w:p w:rsidR="00D82CBC" w:rsidRPr="00C77344" w:rsidRDefault="008C0136" w:rsidP="00D82CBC">
      <w:pPr>
        <w:autoSpaceDE w:val="0"/>
        <w:autoSpaceDN w:val="0"/>
        <w:adjustRightInd w:val="0"/>
        <w:spacing w:line="240" w:lineRule="auto"/>
        <w:ind w:firstLine="426"/>
        <w:jc w:val="both"/>
        <w:rPr>
          <w:rFonts w:cs="Erie_Lightpl"/>
          <w:color w:val="000000" w:themeColor="text1"/>
        </w:rPr>
      </w:pPr>
      <w:r w:rsidRPr="00C77344">
        <w:rPr>
          <w:rFonts w:cs="Erie_Lightpl"/>
          <w:color w:val="000000" w:themeColor="text1"/>
        </w:rPr>
        <w:t xml:space="preserve"> </w:t>
      </w:r>
    </w:p>
    <w:p w:rsidR="00D82CBC" w:rsidRDefault="00D166A8" w:rsidP="00D82CBC">
      <w:pPr>
        <w:autoSpaceDE w:val="0"/>
        <w:autoSpaceDN w:val="0"/>
        <w:adjustRightInd w:val="0"/>
        <w:spacing w:line="240" w:lineRule="auto"/>
        <w:ind w:firstLine="426"/>
        <w:jc w:val="both"/>
        <w:rPr>
          <w:rFonts w:cs="Erie_Lightpl"/>
        </w:rPr>
      </w:pPr>
      <w:r>
        <w:rPr>
          <w:rFonts w:cs="Erie_Lightpl"/>
        </w:rPr>
        <w:t>W tabelach</w:t>
      </w:r>
      <w:r w:rsidR="00D82CBC">
        <w:rPr>
          <w:rFonts w:cs="Erie_Lightpl"/>
        </w:rPr>
        <w:t xml:space="preserve"> przedstawiono sposób montażu, ilość opraw dla poszczególnych pomieszczeń w budynkach. Natężenie minimalne wynosi 2 lx dla każdego z pomieszczeń zgodnie z normą </w:t>
      </w:r>
      <w:r w:rsidR="00D82CBC" w:rsidRPr="00812CAF">
        <w:rPr>
          <w:rFonts w:cs="Erie_Lightpl"/>
        </w:rPr>
        <w:t>PN-EN 1838</w:t>
      </w:r>
      <w:r w:rsidR="00B502AD">
        <w:rPr>
          <w:rFonts w:cs="Erie_Lightpl"/>
        </w:rPr>
        <w:t>:2013</w:t>
      </w:r>
      <w:r w:rsidR="00D82CBC">
        <w:rPr>
          <w:rFonts w:cs="Erie_Lightpl"/>
        </w:rPr>
        <w:t xml:space="preserve">. </w:t>
      </w:r>
    </w:p>
    <w:p w:rsidR="00D82CBC" w:rsidRDefault="00D82CBC" w:rsidP="00D82CBC">
      <w:pPr>
        <w:autoSpaceDE w:val="0"/>
        <w:autoSpaceDN w:val="0"/>
        <w:adjustRightInd w:val="0"/>
        <w:spacing w:line="240" w:lineRule="auto"/>
        <w:ind w:firstLine="426"/>
        <w:jc w:val="both"/>
        <w:rPr>
          <w:rFonts w:cs="Erie_Light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76"/>
        <w:gridCol w:w="1907"/>
        <w:gridCol w:w="1766"/>
        <w:gridCol w:w="1766"/>
        <w:gridCol w:w="1767"/>
      </w:tblGrid>
      <w:tr w:rsidR="00D166A8" w:rsidRPr="00D166A8" w:rsidTr="003B1B09">
        <w:trPr>
          <w:trHeight w:val="20"/>
          <w:jc w:val="center"/>
        </w:trPr>
        <w:tc>
          <w:tcPr>
            <w:tcW w:w="5000" w:type="pct"/>
            <w:gridSpan w:val="5"/>
            <w:shd w:val="clear" w:color="auto" w:fill="auto"/>
            <w:hideMark/>
          </w:tcPr>
          <w:p w:rsidR="00D166A8" w:rsidRPr="00D166A8" w:rsidRDefault="00D166A8" w:rsidP="00D166A8">
            <w:pPr>
              <w:spacing w:line="240" w:lineRule="auto"/>
              <w:jc w:val="center"/>
              <w:rPr>
                <w:rFonts w:eastAsia="Times New Roman" w:cs="Arial"/>
                <w:b/>
                <w:color w:val="000000"/>
                <w:lang w:eastAsia="pl-PL"/>
              </w:rPr>
            </w:pPr>
            <w:r w:rsidRPr="00D166A8">
              <w:rPr>
                <w:rFonts w:eastAsia="Times New Roman" w:cs="Erie_Lightpl"/>
                <w:b/>
                <w:color w:val="000000"/>
                <w:lang w:eastAsia="pl-PL"/>
              </w:rPr>
              <w:t>Villa Intrata</w:t>
            </w:r>
          </w:p>
        </w:tc>
      </w:tr>
      <w:tr w:rsidR="00D166A8" w:rsidRPr="00D166A8" w:rsidTr="003B1B09">
        <w:trPr>
          <w:trHeight w:val="20"/>
          <w:jc w:val="center"/>
        </w:trPr>
        <w:tc>
          <w:tcPr>
            <w:tcW w:w="1033" w:type="pct"/>
            <w:shd w:val="clear" w:color="auto" w:fill="auto"/>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Nr pomieszczenia</w:t>
            </w:r>
          </w:p>
        </w:tc>
        <w:tc>
          <w:tcPr>
            <w:tcW w:w="1050" w:type="pct"/>
            <w:shd w:val="clear" w:color="auto" w:fill="auto"/>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Pomieszczenie</w:t>
            </w:r>
          </w:p>
        </w:tc>
        <w:tc>
          <w:tcPr>
            <w:tcW w:w="972" w:type="pct"/>
            <w:shd w:val="clear" w:color="auto" w:fill="auto"/>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Piętro</w:t>
            </w:r>
          </w:p>
        </w:tc>
        <w:tc>
          <w:tcPr>
            <w:tcW w:w="972" w:type="pct"/>
            <w:shd w:val="clear" w:color="auto" w:fill="auto"/>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Ilość opraw</w:t>
            </w:r>
          </w:p>
        </w:tc>
        <w:tc>
          <w:tcPr>
            <w:tcW w:w="972" w:type="pct"/>
            <w:shd w:val="clear" w:color="auto" w:fill="auto"/>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Sposób montażu</w:t>
            </w:r>
          </w:p>
        </w:tc>
      </w:tr>
      <w:tr w:rsidR="00D166A8" w:rsidRPr="00D166A8" w:rsidTr="003B1B09">
        <w:trPr>
          <w:trHeight w:val="227"/>
          <w:jc w:val="center"/>
        </w:trPr>
        <w:tc>
          <w:tcPr>
            <w:tcW w:w="1033" w:type="pct"/>
            <w:shd w:val="clear" w:color="auto" w:fill="auto"/>
            <w:vAlign w:val="center"/>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0/1</w:t>
            </w:r>
          </w:p>
        </w:tc>
        <w:tc>
          <w:tcPr>
            <w:tcW w:w="1050" w:type="pct"/>
            <w:shd w:val="clear" w:color="auto" w:fill="auto"/>
            <w:vAlign w:val="center"/>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sala konferencyjna</w:t>
            </w:r>
          </w:p>
        </w:tc>
        <w:tc>
          <w:tcPr>
            <w:tcW w:w="972" w:type="pct"/>
            <w:shd w:val="clear" w:color="auto" w:fill="auto"/>
            <w:vAlign w:val="center"/>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D166A8" w:rsidRPr="00D166A8" w:rsidRDefault="00D166A8"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D166A8" w:rsidRPr="00D166A8" w:rsidRDefault="00FF6297"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00D166A8" w:rsidRPr="00D166A8">
              <w:rPr>
                <w:rFonts w:eastAsia="Times New Roman" w:cs="Erie_Lightpl"/>
                <w:color w:val="000000"/>
                <w:lang w:eastAsia="pl-PL"/>
              </w:rPr>
              <w:t>stniejące</w:t>
            </w:r>
            <w:r w:rsidR="00964F67">
              <w:rPr>
                <w:rFonts w:eastAsia="Times New Roman" w:cs="Erie_Lightpl"/>
                <w:color w:val="000000"/>
                <w:lang w:eastAsia="pl-PL"/>
              </w:rPr>
              <w:t xml:space="preserve"> oprawy awaryjne do wymiany</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0/2</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szatnia</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964F67" w:rsidRPr="00D166A8" w:rsidRDefault="00FF6297" w:rsidP="00FF6297">
            <w:pPr>
              <w:tabs>
                <w:tab w:val="left" w:pos="405"/>
                <w:tab w:val="center" w:pos="478"/>
              </w:tabs>
              <w:spacing w:line="240" w:lineRule="auto"/>
              <w:jc w:val="center"/>
              <w:rPr>
                <w:rFonts w:eastAsia="Times New Roman" w:cs="Arial"/>
                <w:color w:val="000000"/>
                <w:lang w:eastAsia="pl-PL"/>
              </w:rPr>
            </w:pPr>
            <w:r>
              <w:rPr>
                <w:rFonts w:eastAsia="Times New Roman" w:cs="Erie_Lightpl"/>
                <w:color w:val="000000"/>
                <w:lang w:eastAsia="pl-PL"/>
              </w:rPr>
              <w:t>1</w:t>
            </w:r>
          </w:p>
        </w:tc>
        <w:tc>
          <w:tcPr>
            <w:tcW w:w="972" w:type="pct"/>
            <w:shd w:val="clear" w:color="auto" w:fill="auto"/>
            <w:vAlign w:val="center"/>
            <w:hideMark/>
          </w:tcPr>
          <w:p w:rsidR="00964F67" w:rsidRPr="00D166A8" w:rsidRDefault="0049612F" w:rsidP="00964F67">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0/3</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2</w:t>
            </w:r>
          </w:p>
        </w:tc>
        <w:tc>
          <w:tcPr>
            <w:tcW w:w="972" w:type="pct"/>
            <w:shd w:val="clear" w:color="auto" w:fill="auto"/>
            <w:vAlign w:val="center"/>
            <w:hideMark/>
          </w:tcPr>
          <w:p w:rsidR="00964F67" w:rsidRPr="00D166A8" w:rsidRDefault="0049612F" w:rsidP="00964F67">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0/4</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WC</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Pr>
                <w:rFonts w:eastAsia="Times New Roman" w:cs="Erie_Lightpl"/>
                <w:color w:val="000000"/>
                <w:lang w:eastAsia="pl-PL"/>
              </w:rPr>
              <w:t>-</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0/5</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WC</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 </w:t>
            </w:r>
            <w:r>
              <w:rPr>
                <w:rFonts w:eastAsia="Times New Roman" w:cs="Erie_Lightpl"/>
                <w:color w:val="000000"/>
                <w:lang w:eastAsia="pl-PL"/>
              </w:rPr>
              <w:t>-</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0/6</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 </w:t>
            </w:r>
            <w:r w:rsidR="0049612F">
              <w:rPr>
                <w:rFonts w:eastAsia="Times New Roman" w:cs="Arial"/>
                <w:color w:val="000000"/>
                <w:lang w:eastAsia="pl-PL"/>
              </w:rPr>
              <w:t>-</w:t>
            </w:r>
          </w:p>
        </w:tc>
      </w:tr>
      <w:tr w:rsidR="00964F67" w:rsidRPr="00D166A8" w:rsidTr="003B1B09">
        <w:trPr>
          <w:trHeight w:val="227"/>
          <w:jc w:val="center"/>
        </w:trPr>
        <w:tc>
          <w:tcPr>
            <w:tcW w:w="1033"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0/7</w:t>
            </w:r>
          </w:p>
        </w:tc>
        <w:tc>
          <w:tcPr>
            <w:tcW w:w="1050"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964F67" w:rsidRPr="00D166A8" w:rsidRDefault="00964F67"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E47747" w:rsidRPr="00D166A8" w:rsidTr="003B1B09">
        <w:trPr>
          <w:trHeight w:val="227"/>
          <w:jc w:val="center"/>
        </w:trPr>
        <w:tc>
          <w:tcPr>
            <w:tcW w:w="1033" w:type="pct"/>
            <w:shd w:val="clear" w:color="auto" w:fill="auto"/>
            <w:vAlign w:val="center"/>
            <w:hideMark/>
          </w:tcPr>
          <w:p w:rsidR="00E47747" w:rsidRPr="00D166A8" w:rsidRDefault="00E47747" w:rsidP="00C632E9">
            <w:pPr>
              <w:spacing w:line="240" w:lineRule="auto"/>
              <w:jc w:val="center"/>
              <w:rPr>
                <w:rFonts w:eastAsia="Times New Roman" w:cs="Arial"/>
                <w:color w:val="000000"/>
                <w:lang w:eastAsia="pl-PL"/>
              </w:rPr>
            </w:pPr>
            <w:r w:rsidRPr="00D166A8">
              <w:rPr>
                <w:rFonts w:eastAsia="Times New Roman" w:cs="Arial"/>
                <w:color w:val="000000"/>
                <w:lang w:eastAsia="pl-PL"/>
              </w:rPr>
              <w:t>0/7</w:t>
            </w:r>
          </w:p>
        </w:tc>
        <w:tc>
          <w:tcPr>
            <w:tcW w:w="1050" w:type="pct"/>
            <w:shd w:val="clear" w:color="auto" w:fill="auto"/>
            <w:vAlign w:val="center"/>
            <w:hideMark/>
          </w:tcPr>
          <w:p w:rsidR="00E47747" w:rsidRPr="00D166A8" w:rsidRDefault="00E47747" w:rsidP="00C632E9">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E47747" w:rsidRPr="00D166A8" w:rsidRDefault="00E47747"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47747" w:rsidRPr="00D166A8" w:rsidRDefault="00E47747"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Pr>
                <w:rFonts w:eastAsia="Times New Roman" w:cs="Erie_Lightpl"/>
                <w:color w:val="000000"/>
                <w:lang w:eastAsia="pl-PL"/>
              </w:rPr>
              <w:t>oprawa ewakuacyjna na ścianie</w:t>
            </w:r>
          </w:p>
        </w:tc>
      </w:tr>
      <w:tr w:rsidR="00E47747" w:rsidRPr="00D166A8" w:rsidTr="003B1B09">
        <w:trPr>
          <w:trHeight w:val="227"/>
          <w:jc w:val="center"/>
        </w:trPr>
        <w:tc>
          <w:tcPr>
            <w:tcW w:w="1033"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0/8</w:t>
            </w:r>
          </w:p>
        </w:tc>
        <w:tc>
          <w:tcPr>
            <w:tcW w:w="1050"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kotłownia</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E47747" w:rsidRPr="00D166A8" w:rsidTr="003B1B09">
        <w:trPr>
          <w:trHeight w:val="227"/>
          <w:jc w:val="center"/>
        </w:trPr>
        <w:tc>
          <w:tcPr>
            <w:tcW w:w="1033"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0/9</w:t>
            </w:r>
          </w:p>
        </w:tc>
        <w:tc>
          <w:tcPr>
            <w:tcW w:w="1050"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47747" w:rsidRPr="00D166A8" w:rsidRDefault="0057710C" w:rsidP="00D166A8">
            <w:pPr>
              <w:spacing w:line="240" w:lineRule="auto"/>
              <w:jc w:val="center"/>
              <w:rPr>
                <w:rFonts w:eastAsia="Times New Roman" w:cs="Arial"/>
                <w:color w:val="000000"/>
                <w:lang w:eastAsia="pl-PL"/>
              </w:rPr>
            </w:pPr>
            <w:r>
              <w:rPr>
                <w:rFonts w:eastAsia="Times New Roman" w:cs="Arial"/>
                <w:color w:val="000000"/>
                <w:lang w:eastAsia="pl-PL"/>
              </w:rPr>
              <w:t>2</w:t>
            </w:r>
          </w:p>
        </w:tc>
        <w:tc>
          <w:tcPr>
            <w:tcW w:w="972" w:type="pct"/>
            <w:shd w:val="clear" w:color="auto" w:fill="auto"/>
            <w:vAlign w:val="center"/>
            <w:hideMark/>
          </w:tcPr>
          <w:p w:rsidR="00E47747" w:rsidRPr="00D166A8" w:rsidRDefault="00E47747"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3C694F" w:rsidRPr="00D166A8" w:rsidTr="003B1B09">
        <w:trPr>
          <w:trHeight w:val="227"/>
          <w:jc w:val="center"/>
        </w:trPr>
        <w:tc>
          <w:tcPr>
            <w:tcW w:w="1033" w:type="pct"/>
            <w:shd w:val="clear" w:color="auto" w:fill="auto"/>
            <w:vAlign w:val="center"/>
            <w:hideMark/>
          </w:tcPr>
          <w:p w:rsidR="003C694F" w:rsidRPr="00D166A8" w:rsidRDefault="003C694F" w:rsidP="00C632E9">
            <w:pPr>
              <w:spacing w:line="240" w:lineRule="auto"/>
              <w:jc w:val="center"/>
              <w:rPr>
                <w:rFonts w:eastAsia="Times New Roman" w:cs="Arial"/>
                <w:color w:val="000000"/>
                <w:lang w:eastAsia="pl-PL"/>
              </w:rPr>
            </w:pPr>
            <w:r w:rsidRPr="00D166A8">
              <w:rPr>
                <w:rFonts w:eastAsia="Times New Roman" w:cs="Arial"/>
                <w:color w:val="000000"/>
                <w:lang w:eastAsia="pl-PL"/>
              </w:rPr>
              <w:t>0/9</w:t>
            </w:r>
          </w:p>
        </w:tc>
        <w:tc>
          <w:tcPr>
            <w:tcW w:w="1050" w:type="pct"/>
            <w:shd w:val="clear" w:color="auto" w:fill="auto"/>
            <w:vAlign w:val="center"/>
            <w:hideMark/>
          </w:tcPr>
          <w:p w:rsidR="003C694F" w:rsidRPr="00D166A8" w:rsidRDefault="003C694F" w:rsidP="00C632E9">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3C694F" w:rsidRPr="00D166A8" w:rsidRDefault="003C694F"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3C694F" w:rsidRPr="00D166A8" w:rsidRDefault="003C694F" w:rsidP="00C632E9">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3C694F" w:rsidRPr="00D166A8" w:rsidRDefault="003C694F" w:rsidP="003C694F">
            <w:pPr>
              <w:spacing w:line="240" w:lineRule="auto"/>
              <w:jc w:val="center"/>
              <w:rPr>
                <w:rFonts w:eastAsia="Times New Roman" w:cs="Arial"/>
                <w:color w:val="000000"/>
                <w:lang w:eastAsia="pl-PL"/>
              </w:rPr>
            </w:pPr>
            <w:r>
              <w:rPr>
                <w:rFonts w:eastAsia="Times New Roman" w:cs="Erie_Lightpl"/>
                <w:color w:val="000000"/>
                <w:lang w:eastAsia="pl-PL"/>
              </w:rPr>
              <w:t>oprawa ewakuacyjna na suficie</w:t>
            </w:r>
          </w:p>
        </w:tc>
      </w:tr>
      <w:tr w:rsidR="003C694F" w:rsidRPr="00D166A8" w:rsidTr="003B1B09">
        <w:trPr>
          <w:trHeight w:val="227"/>
          <w:jc w:val="center"/>
        </w:trPr>
        <w:tc>
          <w:tcPr>
            <w:tcW w:w="1033"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0/10</w:t>
            </w:r>
          </w:p>
        </w:tc>
        <w:tc>
          <w:tcPr>
            <w:tcW w:w="1050"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t>
            </w:r>
          </w:p>
        </w:tc>
        <w:tc>
          <w:tcPr>
            <w:tcW w:w="972" w:type="pct"/>
            <w:shd w:val="clear" w:color="auto" w:fill="auto"/>
            <w:vAlign w:val="center"/>
            <w:hideMark/>
          </w:tcPr>
          <w:p w:rsidR="003C694F"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003C694F" w:rsidRPr="00D166A8">
              <w:rPr>
                <w:rFonts w:eastAsia="Times New Roman" w:cs="Arial"/>
                <w:color w:val="000000"/>
                <w:lang w:eastAsia="pl-PL"/>
              </w:rPr>
              <w:t> </w:t>
            </w:r>
          </w:p>
        </w:tc>
      </w:tr>
      <w:tr w:rsidR="003C694F" w:rsidRPr="00D166A8" w:rsidTr="003B1B09">
        <w:trPr>
          <w:trHeight w:val="227"/>
          <w:jc w:val="center"/>
        </w:trPr>
        <w:tc>
          <w:tcPr>
            <w:tcW w:w="1033"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0/11</w:t>
            </w:r>
          </w:p>
        </w:tc>
        <w:tc>
          <w:tcPr>
            <w:tcW w:w="1050"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Erie_Lightpl"/>
                <w:color w:val="000000"/>
                <w:lang w:eastAsia="pl-PL"/>
              </w:rPr>
              <w:t>-</w:t>
            </w:r>
          </w:p>
        </w:tc>
        <w:tc>
          <w:tcPr>
            <w:tcW w:w="972" w:type="pct"/>
            <w:shd w:val="clear" w:color="auto" w:fill="auto"/>
            <w:vAlign w:val="center"/>
            <w:hideMark/>
          </w:tcPr>
          <w:p w:rsidR="003C694F"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003C694F" w:rsidRPr="00D166A8">
              <w:rPr>
                <w:rFonts w:eastAsia="Times New Roman" w:cs="Arial"/>
                <w:color w:val="000000"/>
                <w:lang w:eastAsia="pl-PL"/>
              </w:rPr>
              <w:t> </w:t>
            </w:r>
          </w:p>
        </w:tc>
      </w:tr>
      <w:tr w:rsidR="003C694F" w:rsidRPr="00D166A8" w:rsidTr="003B1B09">
        <w:trPr>
          <w:trHeight w:val="227"/>
          <w:jc w:val="center"/>
        </w:trPr>
        <w:tc>
          <w:tcPr>
            <w:tcW w:w="1033"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0/12</w:t>
            </w:r>
          </w:p>
        </w:tc>
        <w:tc>
          <w:tcPr>
            <w:tcW w:w="1050"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3C694F" w:rsidRPr="00D166A8" w:rsidRDefault="003C694F"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0/13</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p. z głównym zaworem wody</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C632E9">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Pr="00D166A8">
              <w:rPr>
                <w:rFonts w:eastAsia="Times New Roman" w:cs="Arial"/>
                <w:color w:val="000000"/>
                <w:lang w:eastAsia="pl-PL"/>
              </w:rPr>
              <w:t> </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0/14</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C632E9">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Pr="00D166A8">
              <w:rPr>
                <w:rFonts w:eastAsia="Times New Roman" w:cs="Arial"/>
                <w:color w:val="000000"/>
                <w:lang w:eastAsia="pl-PL"/>
              </w:rPr>
              <w:t> </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0/15</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C632E9">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Pr="00D166A8">
              <w:rPr>
                <w:rFonts w:eastAsia="Times New Roman" w:cs="Arial"/>
                <w:color w:val="000000"/>
                <w:lang w:eastAsia="pl-PL"/>
              </w:rPr>
              <w:t> </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0/16</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C632E9">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Pr="00D166A8">
              <w:rPr>
                <w:rFonts w:eastAsia="Times New Roman" w:cs="Arial"/>
                <w:color w:val="000000"/>
                <w:lang w:eastAsia="pl-PL"/>
              </w:rPr>
              <w:t> </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0/17</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 </w:t>
            </w:r>
            <w:r>
              <w:rPr>
                <w:rFonts w:eastAsia="Times New Roman" w:cs="Arial"/>
                <w:color w:val="000000"/>
                <w:lang w:eastAsia="pl-PL"/>
              </w:rPr>
              <w:t>-</w:t>
            </w:r>
            <w:r w:rsidRPr="00D166A8">
              <w:rPr>
                <w:rFonts w:eastAsia="Times New Roman" w:cs="Arial"/>
                <w:color w:val="000000"/>
                <w:lang w:eastAsia="pl-PL"/>
              </w:rPr>
              <w:t>  </w:t>
            </w:r>
          </w:p>
        </w:tc>
      </w:tr>
      <w:tr w:rsidR="00022056" w:rsidRPr="00D166A8" w:rsidTr="003B1B09">
        <w:trPr>
          <w:trHeight w:val="227"/>
          <w:jc w:val="center"/>
        </w:trPr>
        <w:tc>
          <w:tcPr>
            <w:tcW w:w="1033"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0/18</w:t>
            </w:r>
          </w:p>
        </w:tc>
        <w:tc>
          <w:tcPr>
            <w:tcW w:w="1050"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022056" w:rsidRPr="00D166A8" w:rsidRDefault="00022056"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57710C" w:rsidRPr="00D166A8" w:rsidTr="003B1B09">
        <w:trPr>
          <w:trHeight w:val="513"/>
          <w:jc w:val="center"/>
        </w:trPr>
        <w:tc>
          <w:tcPr>
            <w:tcW w:w="1033" w:type="pct"/>
            <w:shd w:val="clear" w:color="auto" w:fill="auto"/>
            <w:vAlign w:val="center"/>
            <w:hideMark/>
          </w:tcPr>
          <w:p w:rsidR="0057710C" w:rsidRPr="00D166A8" w:rsidRDefault="0057710C" w:rsidP="0057710C">
            <w:pPr>
              <w:spacing w:line="240" w:lineRule="auto"/>
              <w:jc w:val="center"/>
              <w:rPr>
                <w:rFonts w:eastAsia="Times New Roman" w:cs="Arial"/>
                <w:color w:val="000000"/>
                <w:lang w:eastAsia="pl-PL"/>
              </w:rPr>
            </w:pPr>
            <w:r w:rsidRPr="00D166A8">
              <w:rPr>
                <w:rFonts w:eastAsia="Times New Roman" w:cs="Arial"/>
                <w:color w:val="000000"/>
                <w:lang w:eastAsia="pl-PL"/>
              </w:rPr>
              <w:t>0/18</w:t>
            </w:r>
          </w:p>
        </w:tc>
        <w:tc>
          <w:tcPr>
            <w:tcW w:w="1050" w:type="pct"/>
            <w:shd w:val="clear" w:color="auto" w:fill="auto"/>
            <w:vAlign w:val="center"/>
            <w:hideMark/>
          </w:tcPr>
          <w:p w:rsidR="0057710C" w:rsidRPr="00D166A8" w:rsidRDefault="0057710C" w:rsidP="0057710C">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57710C" w:rsidRPr="00D166A8" w:rsidRDefault="0057710C" w:rsidP="0057710C">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57710C">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8F22DE" w:rsidP="008F22DE">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ewakuacyjne do wymiany</w:t>
            </w:r>
          </w:p>
        </w:tc>
      </w:tr>
      <w:tr w:rsidR="0057710C" w:rsidRPr="00D166A8" w:rsidTr="003B1B09">
        <w:trPr>
          <w:trHeight w:val="655"/>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0/19</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0/20</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magazyn</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 xml:space="preserve">oprawa awaryjna na </w:t>
            </w:r>
            <w:r w:rsidRPr="00D166A8">
              <w:rPr>
                <w:rFonts w:eastAsia="Times New Roman" w:cs="Arial"/>
                <w:color w:val="000000"/>
                <w:lang w:eastAsia="pl-PL"/>
              </w:rPr>
              <w:lastRenderedPageBreak/>
              <w:t>suficie</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lastRenderedPageBreak/>
              <w:t>0/21</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p. techniczne</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0/21</w:t>
            </w:r>
          </w:p>
        </w:tc>
        <w:tc>
          <w:tcPr>
            <w:tcW w:w="1050"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p. techniczne</w:t>
            </w:r>
          </w:p>
        </w:tc>
        <w:tc>
          <w:tcPr>
            <w:tcW w:w="972"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5B17F6">
            <w:pPr>
              <w:spacing w:line="240" w:lineRule="auto"/>
              <w:jc w:val="center"/>
              <w:rPr>
                <w:rFonts w:eastAsia="Times New Roman" w:cs="Arial"/>
                <w:color w:val="000000"/>
                <w:lang w:eastAsia="pl-PL"/>
              </w:rPr>
            </w:pPr>
            <w:r>
              <w:rPr>
                <w:rFonts w:eastAsia="Times New Roman" w:cs="Erie_Lightpl"/>
                <w:color w:val="000000"/>
                <w:lang w:eastAsia="pl-PL"/>
              </w:rPr>
              <w:t>oprawa ewakuacyjna na ścianie</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0/22</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Pr>
                <w:rFonts w:eastAsia="Times New Roman" w:cs="Arial"/>
                <w:color w:val="000000"/>
                <w:lang w:eastAsia="pl-PL"/>
              </w:rPr>
              <w:t>2</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0/22</w:t>
            </w:r>
          </w:p>
        </w:tc>
        <w:tc>
          <w:tcPr>
            <w:tcW w:w="1050"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składzik</w:t>
            </w:r>
          </w:p>
        </w:tc>
        <w:tc>
          <w:tcPr>
            <w:tcW w:w="972"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C632E9">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57710C" w:rsidRDefault="0057710C" w:rsidP="00D166A8">
            <w:pPr>
              <w:spacing w:line="240" w:lineRule="auto"/>
              <w:jc w:val="center"/>
              <w:rPr>
                <w:rFonts w:eastAsia="Times New Roman" w:cs="Erie_Lightpl"/>
                <w:color w:val="000000"/>
                <w:lang w:eastAsia="pl-PL"/>
              </w:rPr>
            </w:pPr>
            <w:r>
              <w:rPr>
                <w:rFonts w:eastAsia="Times New Roman" w:cs="Erie_Lightpl"/>
                <w:color w:val="000000"/>
                <w:lang w:eastAsia="pl-PL"/>
              </w:rPr>
              <w:t>oprawa ewakuacyjna na suficie</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1/1</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 </w:t>
            </w:r>
          </w:p>
        </w:tc>
      </w:tr>
      <w:tr w:rsidR="0057710C" w:rsidRPr="00D166A8" w:rsidTr="003B1B09">
        <w:trPr>
          <w:trHeight w:val="227"/>
          <w:jc w:val="center"/>
        </w:trPr>
        <w:tc>
          <w:tcPr>
            <w:tcW w:w="1033"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1/2</w:t>
            </w:r>
          </w:p>
        </w:tc>
        <w:tc>
          <w:tcPr>
            <w:tcW w:w="1050"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57710C" w:rsidRPr="00D166A8" w:rsidRDefault="0057710C"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EB37BB" w:rsidRPr="00D166A8" w:rsidTr="003B1B09">
        <w:trPr>
          <w:trHeight w:val="227"/>
          <w:jc w:val="center"/>
        </w:trPr>
        <w:tc>
          <w:tcPr>
            <w:tcW w:w="1033" w:type="pct"/>
            <w:shd w:val="clear" w:color="auto" w:fill="auto"/>
            <w:vAlign w:val="center"/>
            <w:hideMark/>
          </w:tcPr>
          <w:p w:rsidR="00EB37BB" w:rsidRPr="00D166A8" w:rsidRDefault="00EB37BB" w:rsidP="005C258B">
            <w:pPr>
              <w:spacing w:line="240" w:lineRule="auto"/>
              <w:jc w:val="center"/>
              <w:rPr>
                <w:rFonts w:eastAsia="Times New Roman" w:cs="Arial"/>
                <w:color w:val="000000"/>
                <w:lang w:eastAsia="pl-PL"/>
              </w:rPr>
            </w:pPr>
            <w:r w:rsidRPr="00D166A8">
              <w:rPr>
                <w:rFonts w:eastAsia="Times New Roman" w:cs="Arial"/>
                <w:color w:val="000000"/>
                <w:lang w:eastAsia="pl-PL"/>
              </w:rPr>
              <w:t>1/2</w:t>
            </w:r>
          </w:p>
        </w:tc>
        <w:tc>
          <w:tcPr>
            <w:tcW w:w="1050" w:type="pct"/>
            <w:shd w:val="clear" w:color="auto" w:fill="auto"/>
            <w:vAlign w:val="center"/>
            <w:hideMark/>
          </w:tcPr>
          <w:p w:rsidR="00EB37BB" w:rsidRPr="00D166A8" w:rsidRDefault="00EB37BB" w:rsidP="005C258B">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EB37BB" w:rsidRPr="00D166A8" w:rsidRDefault="00EB37BB" w:rsidP="005C258B">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EB37BB" w:rsidRPr="00D166A8" w:rsidRDefault="00EB37BB" w:rsidP="005C258B">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B37BB" w:rsidRDefault="00EB37BB" w:rsidP="00D166A8">
            <w:pPr>
              <w:spacing w:line="240" w:lineRule="auto"/>
              <w:jc w:val="center"/>
              <w:rPr>
                <w:rFonts w:eastAsia="Times New Roman" w:cs="Erie_Lightp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ewakuacyjne do wymiany</w:t>
            </w:r>
          </w:p>
        </w:tc>
      </w:tr>
      <w:tr w:rsidR="00EB37BB" w:rsidRPr="00D166A8" w:rsidTr="003B1B09">
        <w:trPr>
          <w:trHeight w:val="227"/>
          <w:jc w:val="center"/>
        </w:trPr>
        <w:tc>
          <w:tcPr>
            <w:tcW w:w="1033"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1/3</w:t>
            </w:r>
          </w:p>
        </w:tc>
        <w:tc>
          <w:tcPr>
            <w:tcW w:w="1050"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sala konferencyjna</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EB37BB" w:rsidRPr="00D166A8" w:rsidTr="003B1B09">
        <w:trPr>
          <w:trHeight w:val="227"/>
          <w:jc w:val="center"/>
        </w:trPr>
        <w:tc>
          <w:tcPr>
            <w:tcW w:w="1033" w:type="pct"/>
            <w:shd w:val="clear" w:color="auto" w:fill="auto"/>
            <w:vAlign w:val="center"/>
            <w:hideMark/>
          </w:tcPr>
          <w:p w:rsidR="00EB37BB" w:rsidRPr="00D166A8" w:rsidRDefault="00EB37BB" w:rsidP="0011333E">
            <w:pPr>
              <w:spacing w:line="240" w:lineRule="auto"/>
              <w:jc w:val="center"/>
              <w:rPr>
                <w:rFonts w:eastAsia="Times New Roman" w:cs="Arial"/>
                <w:color w:val="000000"/>
                <w:lang w:eastAsia="pl-PL"/>
              </w:rPr>
            </w:pPr>
            <w:r w:rsidRPr="00D166A8">
              <w:rPr>
                <w:rFonts w:eastAsia="Times New Roman" w:cs="Arial"/>
                <w:color w:val="000000"/>
                <w:lang w:eastAsia="pl-PL"/>
              </w:rPr>
              <w:t>1/3</w:t>
            </w:r>
          </w:p>
        </w:tc>
        <w:tc>
          <w:tcPr>
            <w:tcW w:w="1050" w:type="pct"/>
            <w:shd w:val="clear" w:color="auto" w:fill="auto"/>
            <w:vAlign w:val="center"/>
            <w:hideMark/>
          </w:tcPr>
          <w:p w:rsidR="00EB37BB" w:rsidRPr="00D166A8" w:rsidRDefault="00EB37BB" w:rsidP="0011333E">
            <w:pPr>
              <w:spacing w:line="240" w:lineRule="auto"/>
              <w:jc w:val="center"/>
              <w:rPr>
                <w:rFonts w:eastAsia="Times New Roman" w:cs="Arial"/>
                <w:color w:val="000000"/>
                <w:lang w:eastAsia="pl-PL"/>
              </w:rPr>
            </w:pPr>
            <w:r w:rsidRPr="00D166A8">
              <w:rPr>
                <w:rFonts w:eastAsia="Times New Roman" w:cs="Arial"/>
                <w:color w:val="000000"/>
                <w:lang w:eastAsia="pl-PL"/>
              </w:rPr>
              <w:t>sala konferencyjna</w:t>
            </w:r>
          </w:p>
        </w:tc>
        <w:tc>
          <w:tcPr>
            <w:tcW w:w="972" w:type="pct"/>
            <w:shd w:val="clear" w:color="auto" w:fill="auto"/>
            <w:vAlign w:val="center"/>
            <w:hideMark/>
          </w:tcPr>
          <w:p w:rsidR="00EB37BB" w:rsidRPr="00D166A8" w:rsidRDefault="00EB37BB" w:rsidP="0011333E">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EB37BB" w:rsidRPr="00D166A8" w:rsidRDefault="00EB37BB" w:rsidP="0011333E">
            <w:pPr>
              <w:spacing w:line="240" w:lineRule="auto"/>
              <w:jc w:val="center"/>
              <w:rPr>
                <w:rFonts w:eastAsia="Times New Roman" w:cs="Arial"/>
                <w:color w:val="000000"/>
                <w:lang w:eastAsia="pl-PL"/>
              </w:rPr>
            </w:pPr>
            <w:r w:rsidRPr="00D166A8">
              <w:rPr>
                <w:rFonts w:eastAsia="Times New Roman" w:cs="Arial"/>
                <w:color w:val="000000"/>
                <w:lang w:eastAsia="pl-PL"/>
              </w:rPr>
              <w:t>1</w:t>
            </w:r>
          </w:p>
        </w:tc>
        <w:tc>
          <w:tcPr>
            <w:tcW w:w="972" w:type="pct"/>
            <w:shd w:val="clear" w:color="auto" w:fill="auto"/>
            <w:vAlign w:val="center"/>
            <w:hideMark/>
          </w:tcPr>
          <w:p w:rsidR="00EB37BB" w:rsidRDefault="00EB37BB" w:rsidP="00D166A8">
            <w:pPr>
              <w:spacing w:line="240" w:lineRule="auto"/>
              <w:jc w:val="center"/>
              <w:rPr>
                <w:rFonts w:eastAsia="Times New Roman" w:cs="Erie_Lightpl"/>
                <w:color w:val="000000"/>
                <w:lang w:eastAsia="pl-PL"/>
              </w:rPr>
            </w:pPr>
            <w:r>
              <w:rPr>
                <w:rFonts w:eastAsia="Times New Roman" w:cs="Erie_Lightpl"/>
                <w:color w:val="000000"/>
                <w:lang w:eastAsia="pl-PL"/>
              </w:rPr>
              <w:t>oprawa ewakuacyjna na ścianie</w:t>
            </w:r>
          </w:p>
        </w:tc>
      </w:tr>
      <w:tr w:rsidR="00EB37BB" w:rsidRPr="00D166A8" w:rsidTr="003B1B09">
        <w:trPr>
          <w:trHeight w:val="227"/>
          <w:jc w:val="center"/>
        </w:trPr>
        <w:tc>
          <w:tcPr>
            <w:tcW w:w="1033"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1/4</w:t>
            </w:r>
          </w:p>
        </w:tc>
        <w:tc>
          <w:tcPr>
            <w:tcW w:w="1050"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0</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EB37BB" w:rsidRPr="00D166A8" w:rsidRDefault="00EB37BB" w:rsidP="00D166A8">
            <w:pPr>
              <w:spacing w:line="240" w:lineRule="auto"/>
              <w:jc w:val="center"/>
              <w:rPr>
                <w:rFonts w:eastAsia="Times New Roman" w:cs="Arial"/>
                <w:color w:val="000000"/>
                <w:lang w:eastAsia="pl-PL"/>
              </w:rPr>
            </w:pPr>
            <w:r w:rsidRPr="00D166A8">
              <w:rPr>
                <w:rFonts w:eastAsia="Times New Roman" w:cs="Arial"/>
                <w:color w:val="000000"/>
                <w:lang w:eastAsia="pl-PL"/>
              </w:rPr>
              <w:t>oprawa awaryjna na suficie </w:t>
            </w:r>
          </w:p>
        </w:tc>
      </w:tr>
      <w:tr w:rsidR="00EB37BB" w:rsidRPr="00FE7A93" w:rsidTr="003B1B09">
        <w:trPr>
          <w:trHeight w:val="227"/>
          <w:jc w:val="center"/>
        </w:trPr>
        <w:tc>
          <w:tcPr>
            <w:tcW w:w="1033" w:type="pct"/>
            <w:shd w:val="clear" w:color="auto" w:fill="auto"/>
            <w:vAlign w:val="center"/>
            <w:hideMark/>
          </w:tcPr>
          <w:p w:rsidR="00EB37BB" w:rsidRPr="00FE7A93" w:rsidRDefault="00EB37BB" w:rsidP="00D166A8">
            <w:pPr>
              <w:spacing w:line="240" w:lineRule="auto"/>
              <w:jc w:val="center"/>
              <w:rPr>
                <w:rFonts w:eastAsia="Times New Roman" w:cs="Arial"/>
                <w:color w:val="000000"/>
                <w:lang w:eastAsia="pl-PL"/>
              </w:rPr>
            </w:pPr>
            <w:r w:rsidRPr="00FE7A93">
              <w:rPr>
                <w:rFonts w:eastAsia="Times New Roman" w:cs="Arial"/>
                <w:color w:val="000000"/>
                <w:lang w:eastAsia="pl-PL"/>
              </w:rPr>
              <w:t>1/5</w:t>
            </w:r>
          </w:p>
        </w:tc>
        <w:tc>
          <w:tcPr>
            <w:tcW w:w="1050" w:type="pct"/>
            <w:shd w:val="clear" w:color="auto" w:fill="auto"/>
            <w:vAlign w:val="center"/>
            <w:hideMark/>
          </w:tcPr>
          <w:p w:rsidR="00EB37BB" w:rsidRPr="00FE7A93" w:rsidRDefault="00EB37BB" w:rsidP="00D166A8">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EB37BB" w:rsidRPr="00FE7A93" w:rsidRDefault="00EB37BB"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EB37BB" w:rsidRPr="00FE7A93" w:rsidRDefault="00EB37BB"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EB37BB" w:rsidRPr="00FE7A93" w:rsidRDefault="00EB37BB"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EB37BB" w:rsidRPr="00FE7A93" w:rsidTr="003B1B09">
        <w:trPr>
          <w:trHeight w:val="227"/>
          <w:jc w:val="center"/>
        </w:trPr>
        <w:tc>
          <w:tcPr>
            <w:tcW w:w="1033"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1/5</w:t>
            </w:r>
          </w:p>
        </w:tc>
        <w:tc>
          <w:tcPr>
            <w:tcW w:w="1050"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Pr>
                <w:rFonts w:eastAsia="Times New Roman" w:cs="Arial"/>
                <w:color w:val="000000"/>
                <w:lang w:eastAsia="pl-PL"/>
              </w:rPr>
              <w:t>2</w:t>
            </w:r>
          </w:p>
        </w:tc>
        <w:tc>
          <w:tcPr>
            <w:tcW w:w="972" w:type="pct"/>
            <w:shd w:val="clear" w:color="auto" w:fill="auto"/>
            <w:vAlign w:val="center"/>
            <w:hideMark/>
          </w:tcPr>
          <w:p w:rsidR="00EB37BB" w:rsidRPr="00FE7A93" w:rsidRDefault="00EB37BB" w:rsidP="00FE7A93">
            <w:pPr>
              <w:spacing w:line="240" w:lineRule="auto"/>
              <w:jc w:val="center"/>
              <w:rPr>
                <w:rFonts w:eastAsia="Times New Roman" w:cs="Erie_Lightpl"/>
                <w:color w:val="000000"/>
                <w:lang w:eastAsia="pl-PL"/>
              </w:rPr>
            </w:pPr>
            <w:r w:rsidRPr="00D166A8">
              <w:rPr>
                <w:rFonts w:eastAsia="Times New Roman" w:cs="Arial"/>
                <w:color w:val="000000"/>
                <w:lang w:eastAsia="pl-PL"/>
              </w:rPr>
              <w:t>opraw</w:t>
            </w:r>
            <w:r>
              <w:rPr>
                <w:rFonts w:eastAsia="Times New Roman" w:cs="Arial"/>
                <w:color w:val="000000"/>
                <w:lang w:eastAsia="pl-PL"/>
              </w:rPr>
              <w:t>y</w:t>
            </w:r>
            <w:r w:rsidRPr="00D166A8">
              <w:rPr>
                <w:rFonts w:eastAsia="Times New Roman" w:cs="Arial"/>
                <w:color w:val="000000"/>
                <w:lang w:eastAsia="pl-PL"/>
              </w:rPr>
              <w:t xml:space="preserve"> awaryjna na suficie </w:t>
            </w:r>
          </w:p>
        </w:tc>
      </w:tr>
      <w:tr w:rsidR="00EB37BB" w:rsidRPr="00FE7A93" w:rsidTr="003B1B09">
        <w:trPr>
          <w:trHeight w:val="227"/>
          <w:jc w:val="center"/>
        </w:trPr>
        <w:tc>
          <w:tcPr>
            <w:tcW w:w="1033"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1/5</w:t>
            </w:r>
          </w:p>
        </w:tc>
        <w:tc>
          <w:tcPr>
            <w:tcW w:w="1050"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EB37BB" w:rsidRPr="00FE7A93" w:rsidRDefault="00EB37BB" w:rsidP="00FE7A93">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EB37BB" w:rsidRPr="00D166A8" w:rsidRDefault="00EB37BB" w:rsidP="00520067">
            <w:pPr>
              <w:spacing w:line="240" w:lineRule="auto"/>
              <w:jc w:val="center"/>
              <w:rPr>
                <w:rFonts w:eastAsia="Times New Roman" w:cs="Arial"/>
                <w:color w:val="000000"/>
                <w:lang w:eastAsia="pl-PL"/>
              </w:rPr>
            </w:pPr>
            <w:r>
              <w:rPr>
                <w:rFonts w:eastAsia="Times New Roman" w:cs="Arial"/>
                <w:color w:val="000000"/>
                <w:lang w:eastAsia="pl-PL"/>
              </w:rPr>
              <w:t>o</w:t>
            </w:r>
            <w:r w:rsidRPr="00D166A8">
              <w:rPr>
                <w:rFonts w:eastAsia="Times New Roman" w:cs="Arial"/>
                <w:color w:val="000000"/>
                <w:lang w:eastAsia="pl-PL"/>
              </w:rPr>
              <w:t>praw</w:t>
            </w:r>
            <w:r>
              <w:rPr>
                <w:rFonts w:eastAsia="Times New Roman" w:cs="Arial"/>
                <w:color w:val="000000"/>
                <w:lang w:eastAsia="pl-PL"/>
              </w:rPr>
              <w:t>y zewnętrzne</w:t>
            </w:r>
            <w:r w:rsidRPr="00D166A8">
              <w:rPr>
                <w:rFonts w:eastAsia="Times New Roman" w:cs="Arial"/>
                <w:color w:val="000000"/>
                <w:lang w:eastAsia="pl-PL"/>
              </w:rPr>
              <w:t xml:space="preserve"> awaryjna na </w:t>
            </w:r>
            <w:r>
              <w:rPr>
                <w:rFonts w:eastAsia="Times New Roman" w:cs="Arial"/>
                <w:color w:val="000000"/>
                <w:lang w:eastAsia="pl-PL"/>
              </w:rPr>
              <w:t>ścianie</w:t>
            </w:r>
          </w:p>
        </w:tc>
      </w:tr>
      <w:tr w:rsidR="00AF63F4" w:rsidRPr="00FE7A93" w:rsidTr="003B1B09">
        <w:trPr>
          <w:trHeight w:val="227"/>
          <w:jc w:val="center"/>
        </w:trPr>
        <w:tc>
          <w:tcPr>
            <w:tcW w:w="1033" w:type="pct"/>
            <w:shd w:val="clear" w:color="auto" w:fill="auto"/>
            <w:vAlign w:val="center"/>
            <w:hideMark/>
          </w:tcPr>
          <w:p w:rsidR="00AF63F4" w:rsidRPr="00FE7A93" w:rsidRDefault="00AF63F4" w:rsidP="005C258B">
            <w:pPr>
              <w:spacing w:line="240" w:lineRule="auto"/>
              <w:jc w:val="center"/>
              <w:rPr>
                <w:rFonts w:eastAsia="Times New Roman" w:cs="Arial"/>
                <w:color w:val="000000"/>
                <w:lang w:eastAsia="pl-PL"/>
              </w:rPr>
            </w:pPr>
            <w:r w:rsidRPr="00FE7A93">
              <w:rPr>
                <w:rFonts w:eastAsia="Times New Roman" w:cs="Arial"/>
                <w:color w:val="000000"/>
                <w:lang w:eastAsia="pl-PL"/>
              </w:rPr>
              <w:t>1/5</w:t>
            </w:r>
          </w:p>
        </w:tc>
        <w:tc>
          <w:tcPr>
            <w:tcW w:w="1050" w:type="pct"/>
            <w:shd w:val="clear" w:color="auto" w:fill="auto"/>
            <w:vAlign w:val="center"/>
            <w:hideMark/>
          </w:tcPr>
          <w:p w:rsidR="00AF63F4" w:rsidRPr="00FE7A93" w:rsidRDefault="00AF63F4" w:rsidP="005C258B">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AF63F4" w:rsidRPr="00FE7A93" w:rsidRDefault="00AF63F4"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AF63F4" w:rsidRPr="00FE7A93" w:rsidRDefault="00AF63F4" w:rsidP="005C258B">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AF63F4" w:rsidRPr="00D166A8" w:rsidRDefault="00AF63F4" w:rsidP="005C258B">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ewakuacyjne do wymiany</w:t>
            </w:r>
          </w:p>
        </w:tc>
      </w:tr>
      <w:tr w:rsidR="00AF63F4" w:rsidRPr="00FE7A93" w:rsidTr="003B1B09">
        <w:trPr>
          <w:trHeight w:val="227"/>
          <w:jc w:val="center"/>
        </w:trPr>
        <w:tc>
          <w:tcPr>
            <w:tcW w:w="1033"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1/6</w:t>
            </w:r>
          </w:p>
        </w:tc>
        <w:tc>
          <w:tcPr>
            <w:tcW w:w="1050"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AF63F4" w:rsidRPr="00FE7A93" w:rsidTr="003B1B09">
        <w:trPr>
          <w:trHeight w:val="227"/>
          <w:jc w:val="center"/>
        </w:trPr>
        <w:tc>
          <w:tcPr>
            <w:tcW w:w="1033"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1/7</w:t>
            </w:r>
          </w:p>
        </w:tc>
        <w:tc>
          <w:tcPr>
            <w:tcW w:w="1050"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AF63F4" w:rsidRPr="00FE7A93" w:rsidRDefault="00AF63F4"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C70BF4" w:rsidRPr="00FE7A93" w:rsidTr="003B1B09">
        <w:trPr>
          <w:trHeight w:val="227"/>
          <w:jc w:val="center"/>
        </w:trPr>
        <w:tc>
          <w:tcPr>
            <w:tcW w:w="1033"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1/7</w:t>
            </w:r>
          </w:p>
        </w:tc>
        <w:tc>
          <w:tcPr>
            <w:tcW w:w="1050"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C70BF4" w:rsidRDefault="00C70BF4" w:rsidP="00C70BF4">
            <w:pPr>
              <w:spacing w:line="240" w:lineRule="auto"/>
              <w:jc w:val="center"/>
              <w:rPr>
                <w:rFonts w:eastAsia="Times New Roman" w:cs="Erie_Lightpl"/>
                <w:color w:val="000000"/>
                <w:lang w:eastAsia="pl-PL"/>
              </w:rPr>
            </w:pPr>
            <w:r>
              <w:rPr>
                <w:rFonts w:eastAsia="Times New Roman" w:cs="Erie_Lightpl"/>
                <w:color w:val="000000"/>
                <w:lang w:eastAsia="pl-PL"/>
              </w:rPr>
              <w:t>oprawa ewakuacyjna na ścianie</w:t>
            </w:r>
          </w:p>
        </w:tc>
      </w:tr>
      <w:tr w:rsidR="00C70BF4" w:rsidRPr="00FE7A93" w:rsidTr="003B1B09">
        <w:trPr>
          <w:trHeight w:val="227"/>
          <w:jc w:val="center"/>
        </w:trPr>
        <w:tc>
          <w:tcPr>
            <w:tcW w:w="1033"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1/7</w:t>
            </w:r>
          </w:p>
        </w:tc>
        <w:tc>
          <w:tcPr>
            <w:tcW w:w="1050"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C70BF4" w:rsidRPr="00FE7A93" w:rsidRDefault="00C70BF4" w:rsidP="005C258B">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C70BF4" w:rsidRDefault="00C70BF4" w:rsidP="00C70BF4">
            <w:pPr>
              <w:spacing w:line="240" w:lineRule="auto"/>
              <w:jc w:val="center"/>
              <w:rPr>
                <w:rFonts w:eastAsia="Times New Roman" w:cs="Erie_Lightp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ewakuacyjne do wymiany</w:t>
            </w:r>
          </w:p>
        </w:tc>
      </w:tr>
      <w:tr w:rsidR="00C70BF4" w:rsidRPr="00FE7A93" w:rsidTr="003B1B09">
        <w:trPr>
          <w:trHeight w:val="227"/>
          <w:jc w:val="center"/>
        </w:trPr>
        <w:tc>
          <w:tcPr>
            <w:tcW w:w="1033" w:type="pct"/>
            <w:shd w:val="clear" w:color="auto" w:fill="auto"/>
            <w:vAlign w:val="center"/>
            <w:hideMark/>
          </w:tcPr>
          <w:p w:rsidR="00C70BF4" w:rsidRPr="00FE7A93" w:rsidRDefault="00C70BF4" w:rsidP="00D166A8">
            <w:pPr>
              <w:spacing w:line="240" w:lineRule="auto"/>
              <w:jc w:val="center"/>
              <w:rPr>
                <w:rFonts w:eastAsia="Times New Roman" w:cs="Arial"/>
                <w:color w:val="000000"/>
                <w:lang w:eastAsia="pl-PL"/>
              </w:rPr>
            </w:pPr>
            <w:r w:rsidRPr="00FE7A93">
              <w:rPr>
                <w:rFonts w:eastAsia="Times New Roman" w:cs="Arial"/>
                <w:color w:val="000000"/>
                <w:lang w:eastAsia="pl-PL"/>
              </w:rPr>
              <w:t>1/8</w:t>
            </w:r>
          </w:p>
        </w:tc>
        <w:tc>
          <w:tcPr>
            <w:tcW w:w="1050" w:type="pct"/>
            <w:shd w:val="clear" w:color="auto" w:fill="auto"/>
            <w:vAlign w:val="center"/>
            <w:hideMark/>
          </w:tcPr>
          <w:p w:rsidR="00C70BF4" w:rsidRPr="00FE7A93" w:rsidRDefault="00C70BF4"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C70BF4" w:rsidRPr="00FE7A93" w:rsidRDefault="00C70BF4"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C70BF4" w:rsidRPr="00FE7A93" w:rsidRDefault="002C55FA" w:rsidP="00D166A8">
            <w:pPr>
              <w:spacing w:line="240" w:lineRule="auto"/>
              <w:jc w:val="center"/>
              <w:rPr>
                <w:rFonts w:eastAsia="Times New Roman" w:cs="Arial"/>
                <w:color w:val="000000"/>
                <w:lang w:eastAsia="pl-PL"/>
              </w:rPr>
            </w:pPr>
            <w:r>
              <w:rPr>
                <w:rFonts w:eastAsia="Times New Roman" w:cs="Arial"/>
                <w:color w:val="000000"/>
                <w:lang w:eastAsia="pl-PL"/>
              </w:rPr>
              <w:t>3</w:t>
            </w:r>
          </w:p>
        </w:tc>
        <w:tc>
          <w:tcPr>
            <w:tcW w:w="972" w:type="pct"/>
            <w:shd w:val="clear" w:color="auto" w:fill="auto"/>
            <w:vAlign w:val="center"/>
            <w:hideMark/>
          </w:tcPr>
          <w:p w:rsidR="00C70BF4" w:rsidRPr="00FE7A93" w:rsidRDefault="00C70BF4"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1/8</w:t>
            </w:r>
          </w:p>
        </w:tc>
        <w:tc>
          <w:tcPr>
            <w:tcW w:w="1050"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2C55FA" w:rsidRDefault="002C55FA" w:rsidP="00D166A8">
            <w:pPr>
              <w:spacing w:line="240" w:lineRule="auto"/>
              <w:jc w:val="center"/>
              <w:rPr>
                <w:rFonts w:eastAsia="Times New Roman" w:cs="Erie_Lightpl"/>
                <w:color w:val="000000"/>
                <w:lang w:eastAsia="pl-PL"/>
              </w:rPr>
            </w:pPr>
            <w:r>
              <w:rPr>
                <w:rFonts w:eastAsia="Times New Roman" w:cs="Arial"/>
                <w:color w:val="000000"/>
                <w:lang w:eastAsia="pl-PL"/>
              </w:rPr>
              <w:t>o</w:t>
            </w:r>
            <w:r w:rsidRPr="00D166A8">
              <w:rPr>
                <w:rFonts w:eastAsia="Times New Roman" w:cs="Arial"/>
                <w:color w:val="000000"/>
                <w:lang w:eastAsia="pl-PL"/>
              </w:rPr>
              <w:t>praw</w:t>
            </w:r>
            <w:r>
              <w:rPr>
                <w:rFonts w:eastAsia="Times New Roman" w:cs="Arial"/>
                <w:color w:val="000000"/>
                <w:lang w:eastAsia="pl-PL"/>
              </w:rPr>
              <w:t>y zewnętrzne</w:t>
            </w:r>
            <w:r w:rsidRPr="00D166A8">
              <w:rPr>
                <w:rFonts w:eastAsia="Times New Roman" w:cs="Arial"/>
                <w:color w:val="000000"/>
                <w:lang w:eastAsia="pl-PL"/>
              </w:rPr>
              <w:t xml:space="preserve"> awaryjna na </w:t>
            </w:r>
            <w:r>
              <w:rPr>
                <w:rFonts w:eastAsia="Times New Roman" w:cs="Arial"/>
                <w:color w:val="000000"/>
                <w:lang w:eastAsia="pl-PL"/>
              </w:rPr>
              <w:t>ścianie</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1/9</w:t>
            </w:r>
          </w:p>
        </w:tc>
        <w:tc>
          <w:tcPr>
            <w:tcW w:w="1050"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kafeteria</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1/9</w:t>
            </w:r>
          </w:p>
        </w:tc>
        <w:tc>
          <w:tcPr>
            <w:tcW w:w="1050"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kafeteria</w:t>
            </w:r>
          </w:p>
        </w:tc>
        <w:tc>
          <w:tcPr>
            <w:tcW w:w="972"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5C258B">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2C55FA" w:rsidRDefault="002C55FA" w:rsidP="00D166A8">
            <w:pPr>
              <w:spacing w:line="240" w:lineRule="auto"/>
              <w:jc w:val="center"/>
              <w:rPr>
                <w:rFonts w:eastAsia="Times New Roman" w:cs="Erie_Lightpl"/>
                <w:color w:val="000000"/>
                <w:lang w:eastAsia="pl-PL"/>
              </w:rPr>
            </w:pPr>
            <w:r w:rsidRPr="00D166A8">
              <w:rPr>
                <w:rFonts w:eastAsia="Times New Roman" w:cs="Arial"/>
                <w:color w:val="000000"/>
                <w:lang w:eastAsia="pl-PL"/>
              </w:rPr>
              <w:t>oprawa awaryjna na suficie </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1/10</w:t>
            </w:r>
          </w:p>
        </w:tc>
        <w:tc>
          <w:tcPr>
            <w:tcW w:w="1050"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1/11</w:t>
            </w:r>
          </w:p>
        </w:tc>
        <w:tc>
          <w:tcPr>
            <w:tcW w:w="1050"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zaplecze</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Pr>
                <w:rFonts w:eastAsia="Times New Roman" w:cs="Arial"/>
                <w:color w:val="000000"/>
                <w:lang w:eastAsia="pl-PL"/>
              </w:rPr>
              <w:t>-</w:t>
            </w:r>
            <w:r w:rsidRPr="00FE7A93">
              <w:rPr>
                <w:rFonts w:eastAsia="Times New Roman" w:cs="Arial"/>
                <w:color w:val="000000"/>
                <w:lang w:eastAsia="pl-PL"/>
              </w:rPr>
              <w:t> </w:t>
            </w:r>
          </w:p>
        </w:tc>
      </w:tr>
      <w:tr w:rsidR="002C55FA" w:rsidRPr="00FE7A93" w:rsidTr="003B1B09">
        <w:trPr>
          <w:trHeight w:val="227"/>
          <w:jc w:val="center"/>
        </w:trPr>
        <w:tc>
          <w:tcPr>
            <w:tcW w:w="1033"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1/12</w:t>
            </w:r>
          </w:p>
        </w:tc>
        <w:tc>
          <w:tcPr>
            <w:tcW w:w="1050"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kuchnia</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2C55FA" w:rsidRPr="00FE7A93" w:rsidRDefault="002C55FA"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w:t>
            </w:r>
            <w:r>
              <w:rPr>
                <w:rFonts w:eastAsia="Times New Roman" w:cs="Erie_Lightpl"/>
                <w:color w:val="000000"/>
                <w:lang w:eastAsia="pl-PL"/>
              </w:rPr>
              <w:lastRenderedPageBreak/>
              <w:t>awaryjne do wymiany</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5C258B">
            <w:pPr>
              <w:spacing w:line="240" w:lineRule="auto"/>
              <w:jc w:val="center"/>
              <w:rPr>
                <w:rFonts w:eastAsia="Times New Roman" w:cs="Arial"/>
                <w:color w:val="000000"/>
                <w:lang w:eastAsia="pl-PL"/>
              </w:rPr>
            </w:pPr>
            <w:r w:rsidRPr="00FE7A93">
              <w:rPr>
                <w:rFonts w:eastAsia="Times New Roman" w:cs="Arial"/>
                <w:color w:val="000000"/>
                <w:lang w:eastAsia="pl-PL"/>
              </w:rPr>
              <w:lastRenderedPageBreak/>
              <w:t>1/12</w:t>
            </w:r>
          </w:p>
        </w:tc>
        <w:tc>
          <w:tcPr>
            <w:tcW w:w="1050" w:type="pct"/>
            <w:shd w:val="clear" w:color="auto" w:fill="auto"/>
            <w:vAlign w:val="center"/>
            <w:hideMark/>
          </w:tcPr>
          <w:p w:rsidR="000E2099" w:rsidRPr="00FE7A93" w:rsidRDefault="000E2099" w:rsidP="005C258B">
            <w:pPr>
              <w:spacing w:line="240" w:lineRule="auto"/>
              <w:jc w:val="center"/>
              <w:rPr>
                <w:rFonts w:eastAsia="Times New Roman" w:cs="Arial"/>
                <w:color w:val="000000"/>
                <w:lang w:eastAsia="pl-PL"/>
              </w:rPr>
            </w:pPr>
            <w:r w:rsidRPr="00FE7A93">
              <w:rPr>
                <w:rFonts w:eastAsia="Times New Roman" w:cs="Arial"/>
                <w:color w:val="000000"/>
                <w:lang w:eastAsia="pl-PL"/>
              </w:rPr>
              <w:t>kuchnia</w:t>
            </w:r>
          </w:p>
        </w:tc>
        <w:tc>
          <w:tcPr>
            <w:tcW w:w="972" w:type="pct"/>
            <w:shd w:val="clear" w:color="auto" w:fill="auto"/>
            <w:vAlign w:val="center"/>
            <w:hideMark/>
          </w:tcPr>
          <w:p w:rsidR="000E2099" w:rsidRPr="00FE7A93" w:rsidRDefault="000E2099" w:rsidP="005C258B">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0E2099" w:rsidP="005C258B">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0E2099" w:rsidRDefault="000E2099" w:rsidP="00D166A8">
            <w:pPr>
              <w:spacing w:line="240" w:lineRule="auto"/>
              <w:jc w:val="center"/>
              <w:rPr>
                <w:rFonts w:eastAsia="Times New Roman" w:cs="Erie_Lightpl"/>
                <w:color w:val="000000"/>
                <w:lang w:eastAsia="pl-PL"/>
              </w:rPr>
            </w:pPr>
            <w:r>
              <w:rPr>
                <w:rFonts w:eastAsia="Times New Roman" w:cs="Erie_Lightpl"/>
                <w:color w:val="000000"/>
                <w:lang w:eastAsia="pl-PL"/>
              </w:rPr>
              <w:t>oprawa ewakuacyjna na ścianie</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1/13</w:t>
            </w:r>
          </w:p>
        </w:tc>
        <w:tc>
          <w:tcPr>
            <w:tcW w:w="1050"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Pr>
                <w:rFonts w:eastAsia="Times New Roman" w:cs="Arial"/>
                <w:color w:val="000000"/>
                <w:lang w:eastAsia="pl-PL"/>
              </w:rPr>
              <w:t>-</w:t>
            </w:r>
            <w:r w:rsidRPr="00FE7A93">
              <w:rPr>
                <w:rFonts w:eastAsia="Times New Roman" w:cs="Arial"/>
                <w:color w:val="000000"/>
                <w:lang w:eastAsia="pl-PL"/>
              </w:rPr>
              <w:t> </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1/14</w:t>
            </w:r>
          </w:p>
        </w:tc>
        <w:tc>
          <w:tcPr>
            <w:tcW w:w="1050"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F17D2E" w:rsidP="00D166A8">
            <w:pPr>
              <w:spacing w:line="240" w:lineRule="auto"/>
              <w:jc w:val="center"/>
              <w:rPr>
                <w:rFonts w:eastAsia="Times New Roman" w:cs="Arial"/>
                <w:color w:val="000000"/>
                <w:lang w:eastAsia="pl-PL"/>
              </w:rPr>
            </w:pPr>
            <w:r>
              <w:rPr>
                <w:rFonts w:eastAsia="Times New Roman" w:cs="Arial"/>
                <w:color w:val="000000"/>
                <w:lang w:eastAsia="pl-PL"/>
              </w:rPr>
              <w:t>-</w:t>
            </w:r>
          </w:p>
        </w:tc>
        <w:tc>
          <w:tcPr>
            <w:tcW w:w="972" w:type="pct"/>
            <w:shd w:val="clear" w:color="auto" w:fill="auto"/>
            <w:vAlign w:val="center"/>
            <w:hideMark/>
          </w:tcPr>
          <w:p w:rsidR="000E2099" w:rsidRPr="00FE7A93" w:rsidRDefault="00F17D2E" w:rsidP="00D166A8">
            <w:pPr>
              <w:spacing w:line="240" w:lineRule="auto"/>
              <w:jc w:val="center"/>
              <w:rPr>
                <w:rFonts w:eastAsia="Times New Roman" w:cs="Arial"/>
                <w:color w:val="000000"/>
                <w:lang w:eastAsia="pl-PL"/>
              </w:rPr>
            </w:pPr>
            <w:r>
              <w:rPr>
                <w:rFonts w:eastAsia="Times New Roman" w:cs="Erie_Lightpl"/>
                <w:color w:val="000000"/>
                <w:lang w:eastAsia="pl-PL"/>
              </w:rPr>
              <w:t>-</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1/15</w:t>
            </w:r>
          </w:p>
        </w:tc>
        <w:tc>
          <w:tcPr>
            <w:tcW w:w="1050"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Pr>
                <w:rFonts w:eastAsia="Times New Roman" w:cs="Arial"/>
                <w:color w:val="000000"/>
                <w:lang w:eastAsia="pl-PL"/>
              </w:rPr>
              <w:t>-</w:t>
            </w:r>
            <w:r w:rsidRPr="00FE7A93">
              <w:rPr>
                <w:rFonts w:eastAsia="Times New Roman" w:cs="Arial"/>
                <w:color w:val="000000"/>
                <w:lang w:eastAsia="pl-PL"/>
              </w:rPr>
              <w:t> </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1/16</w:t>
            </w:r>
          </w:p>
        </w:tc>
        <w:tc>
          <w:tcPr>
            <w:tcW w:w="1050"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57710C">
            <w:pPr>
              <w:spacing w:line="240" w:lineRule="auto"/>
              <w:jc w:val="center"/>
              <w:rPr>
                <w:rFonts w:eastAsia="Times New Roman" w:cs="Arial"/>
                <w:color w:val="000000"/>
                <w:lang w:eastAsia="pl-PL"/>
              </w:rPr>
            </w:pPr>
            <w:r w:rsidRPr="00FE7A93">
              <w:rPr>
                <w:rFonts w:eastAsia="Times New Roman" w:cs="Arial"/>
                <w:color w:val="000000"/>
                <w:lang w:eastAsia="pl-PL"/>
              </w:rPr>
              <w:t>1/16</w:t>
            </w:r>
          </w:p>
        </w:tc>
        <w:tc>
          <w:tcPr>
            <w:tcW w:w="1050" w:type="pct"/>
            <w:shd w:val="clear" w:color="auto" w:fill="auto"/>
            <w:vAlign w:val="center"/>
            <w:hideMark/>
          </w:tcPr>
          <w:p w:rsidR="000E2099" w:rsidRPr="00FE7A93" w:rsidRDefault="000E2099" w:rsidP="0057710C">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0E2099" w:rsidRPr="00FE7A93" w:rsidRDefault="000E2099" w:rsidP="0057710C">
            <w:pPr>
              <w:spacing w:line="240" w:lineRule="auto"/>
              <w:jc w:val="center"/>
              <w:rPr>
                <w:rFonts w:eastAsia="Times New Roman" w:cs="Arial"/>
                <w:color w:val="000000"/>
                <w:lang w:eastAsia="pl-PL"/>
              </w:rPr>
            </w:pPr>
            <w:r w:rsidRPr="00FE7A93">
              <w:rPr>
                <w:rFonts w:eastAsia="Times New Roman" w:cs="Arial"/>
                <w:color w:val="000000"/>
                <w:lang w:eastAsia="pl-PL"/>
              </w:rPr>
              <w:t>0</w:t>
            </w:r>
          </w:p>
        </w:tc>
        <w:tc>
          <w:tcPr>
            <w:tcW w:w="972" w:type="pct"/>
            <w:shd w:val="clear" w:color="auto" w:fill="auto"/>
            <w:vAlign w:val="center"/>
            <w:hideMark/>
          </w:tcPr>
          <w:p w:rsidR="000E2099" w:rsidRPr="00FE7A93" w:rsidRDefault="000E2099" w:rsidP="0057710C">
            <w:pPr>
              <w:spacing w:line="240" w:lineRule="auto"/>
              <w:jc w:val="center"/>
              <w:rPr>
                <w:rFonts w:eastAsia="Times New Roman" w:cs="Arial"/>
                <w:color w:val="000000"/>
                <w:lang w:eastAsia="pl-PL"/>
              </w:rPr>
            </w:pPr>
            <w:r>
              <w:rPr>
                <w:rFonts w:eastAsia="Times New Roman" w:cs="Arial"/>
                <w:color w:val="000000"/>
                <w:lang w:eastAsia="pl-PL"/>
              </w:rPr>
              <w:t>1</w:t>
            </w:r>
          </w:p>
        </w:tc>
        <w:tc>
          <w:tcPr>
            <w:tcW w:w="972" w:type="pct"/>
            <w:shd w:val="clear" w:color="auto" w:fill="auto"/>
            <w:vAlign w:val="center"/>
            <w:hideMark/>
          </w:tcPr>
          <w:p w:rsidR="000E2099" w:rsidRDefault="000E2099" w:rsidP="00D166A8">
            <w:pPr>
              <w:spacing w:line="240" w:lineRule="auto"/>
              <w:jc w:val="center"/>
              <w:rPr>
                <w:rFonts w:eastAsia="Times New Roman" w:cs="Erie_Lightpl"/>
                <w:color w:val="000000"/>
                <w:lang w:eastAsia="pl-PL"/>
              </w:rPr>
            </w:pPr>
            <w:r>
              <w:rPr>
                <w:rFonts w:eastAsia="Times New Roman" w:cs="Arial"/>
                <w:color w:val="000000"/>
                <w:lang w:eastAsia="pl-PL"/>
              </w:rPr>
              <w:t>o</w:t>
            </w:r>
            <w:r w:rsidRPr="00D166A8">
              <w:rPr>
                <w:rFonts w:eastAsia="Times New Roman" w:cs="Arial"/>
                <w:color w:val="000000"/>
                <w:lang w:eastAsia="pl-PL"/>
              </w:rPr>
              <w:t>praw</w:t>
            </w:r>
            <w:r>
              <w:rPr>
                <w:rFonts w:eastAsia="Times New Roman" w:cs="Arial"/>
                <w:color w:val="000000"/>
                <w:lang w:eastAsia="pl-PL"/>
              </w:rPr>
              <w:t>y zewnętrzne</w:t>
            </w:r>
            <w:r w:rsidRPr="00D166A8">
              <w:rPr>
                <w:rFonts w:eastAsia="Times New Roman" w:cs="Arial"/>
                <w:color w:val="000000"/>
                <w:lang w:eastAsia="pl-PL"/>
              </w:rPr>
              <w:t xml:space="preserve"> awaryjna na </w:t>
            </w:r>
            <w:r>
              <w:rPr>
                <w:rFonts w:eastAsia="Times New Roman" w:cs="Arial"/>
                <w:color w:val="000000"/>
                <w:lang w:eastAsia="pl-PL"/>
              </w:rPr>
              <w:t>ścianie</w:t>
            </w:r>
          </w:p>
        </w:tc>
      </w:tr>
      <w:tr w:rsidR="000E2099" w:rsidRPr="00FE7A93" w:rsidTr="003B1B09">
        <w:trPr>
          <w:trHeight w:val="227"/>
          <w:jc w:val="center"/>
        </w:trPr>
        <w:tc>
          <w:tcPr>
            <w:tcW w:w="1033"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2/1</w:t>
            </w:r>
          </w:p>
        </w:tc>
        <w:tc>
          <w:tcPr>
            <w:tcW w:w="1050"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0E2099" w:rsidRPr="00FE7A93" w:rsidRDefault="000E2099"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0E2099" w:rsidRPr="00FE7A93" w:rsidRDefault="00B91F4A"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5C258B">
            <w:pPr>
              <w:spacing w:line="240" w:lineRule="auto"/>
              <w:jc w:val="center"/>
              <w:rPr>
                <w:rFonts w:eastAsia="Times New Roman" w:cs="Arial"/>
                <w:color w:val="000000"/>
                <w:lang w:eastAsia="pl-PL"/>
              </w:rPr>
            </w:pPr>
            <w:r w:rsidRPr="00FE7A93">
              <w:rPr>
                <w:rFonts w:eastAsia="Times New Roman" w:cs="Arial"/>
                <w:color w:val="000000"/>
                <w:lang w:eastAsia="pl-PL"/>
              </w:rPr>
              <w:t>2/1</w:t>
            </w:r>
          </w:p>
        </w:tc>
        <w:tc>
          <w:tcPr>
            <w:tcW w:w="1050" w:type="pct"/>
            <w:shd w:val="clear" w:color="auto" w:fill="auto"/>
            <w:vAlign w:val="center"/>
            <w:hideMark/>
          </w:tcPr>
          <w:p w:rsidR="00B611CD" w:rsidRPr="00FE7A93" w:rsidRDefault="00B611CD" w:rsidP="005C258B">
            <w:pPr>
              <w:spacing w:line="240" w:lineRule="auto"/>
              <w:jc w:val="center"/>
              <w:rPr>
                <w:rFonts w:eastAsia="Times New Roman" w:cs="Arial"/>
                <w:color w:val="000000"/>
                <w:lang w:eastAsia="pl-PL"/>
              </w:rPr>
            </w:pPr>
            <w:r w:rsidRPr="00FE7A93">
              <w:rPr>
                <w:rFonts w:eastAsia="Times New Roman" w:cs="Arial"/>
                <w:color w:val="000000"/>
                <w:lang w:eastAsia="pl-PL"/>
              </w:rPr>
              <w:t>sala konferencyjna</w:t>
            </w:r>
          </w:p>
        </w:tc>
        <w:tc>
          <w:tcPr>
            <w:tcW w:w="972" w:type="pct"/>
            <w:shd w:val="clear" w:color="auto" w:fill="auto"/>
            <w:vAlign w:val="center"/>
            <w:hideMark/>
          </w:tcPr>
          <w:p w:rsidR="00B611CD" w:rsidRPr="00FE7A93" w:rsidRDefault="00B611CD" w:rsidP="005C258B">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5C258B">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B611CD" w:rsidRDefault="00B611CD" w:rsidP="00D166A8">
            <w:pPr>
              <w:spacing w:line="240" w:lineRule="auto"/>
              <w:jc w:val="center"/>
              <w:rPr>
                <w:rFonts w:eastAsia="Times New Roman" w:cs="Erie_Lightpl"/>
                <w:color w:val="000000"/>
                <w:lang w:eastAsia="pl-PL"/>
              </w:rPr>
            </w:pPr>
            <w:r>
              <w:rPr>
                <w:rFonts w:eastAsia="Times New Roman" w:cs="Erie_Lightpl"/>
                <w:color w:val="000000"/>
                <w:lang w:eastAsia="pl-PL"/>
              </w:rPr>
              <w:t>oprawa ewakuacyjna na ścianie</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2/2</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p. biurowe</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B611CD" w:rsidRPr="00FE7A93" w:rsidRDefault="00B611CD" w:rsidP="005C258B">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2/3</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7C58F1" w:rsidP="00D166A8">
            <w:pPr>
              <w:spacing w:line="240" w:lineRule="auto"/>
              <w:jc w:val="center"/>
              <w:rPr>
                <w:rFonts w:eastAsia="Times New Roman" w:cs="Arial"/>
                <w:color w:val="000000"/>
                <w:lang w:eastAsia="pl-PL"/>
              </w:rPr>
            </w:pPr>
            <w:r>
              <w:rPr>
                <w:rFonts w:eastAsia="Times New Roman" w:cs="Arial"/>
                <w:color w:val="000000"/>
                <w:lang w:eastAsia="pl-PL"/>
              </w:rPr>
              <w:t>-</w:t>
            </w:r>
            <w:r w:rsidR="00B611CD" w:rsidRPr="00FE7A93">
              <w:rPr>
                <w:rFonts w:eastAsia="Times New Roman" w:cs="Arial"/>
                <w:color w:val="000000"/>
                <w:lang w:eastAsia="pl-PL"/>
              </w:rPr>
              <w:t> </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2/4</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oprawa awaryjna na suficie</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2/5</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p. biurowe</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2/6</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p. biurowe</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Pr>
                <w:rFonts w:eastAsia="Times New Roman" w:cs="Erie_Lightpl"/>
                <w:color w:val="000000"/>
                <w:lang w:eastAsia="pl-PL"/>
              </w:rPr>
              <w:t>i</w:t>
            </w:r>
            <w:r w:rsidRPr="00D166A8">
              <w:rPr>
                <w:rFonts w:eastAsia="Times New Roman" w:cs="Erie_Lightpl"/>
                <w:color w:val="000000"/>
                <w:lang w:eastAsia="pl-PL"/>
              </w:rPr>
              <w:t>stniejące</w:t>
            </w:r>
            <w:r>
              <w:rPr>
                <w:rFonts w:eastAsia="Times New Roman" w:cs="Erie_Lightpl"/>
                <w:color w:val="000000"/>
                <w:lang w:eastAsia="pl-PL"/>
              </w:rPr>
              <w:t xml:space="preserve"> oprawy awaryjne do wymiany-</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2/7</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 </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2/8</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WC</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Pr>
                <w:rFonts w:eastAsia="Times New Roman" w:cs="Arial"/>
                <w:color w:val="000000"/>
                <w:lang w:eastAsia="pl-PL"/>
              </w:rPr>
              <w:t>-</w:t>
            </w:r>
            <w:r w:rsidRPr="00FE7A93">
              <w:rPr>
                <w:rFonts w:eastAsia="Times New Roman" w:cs="Arial"/>
                <w:color w:val="000000"/>
                <w:lang w:eastAsia="pl-PL"/>
              </w:rPr>
              <w:t> </w:t>
            </w:r>
          </w:p>
        </w:tc>
      </w:tr>
      <w:tr w:rsidR="00B611CD" w:rsidRPr="00FE7A93" w:rsidTr="003B1B09">
        <w:trPr>
          <w:trHeight w:val="227"/>
          <w:jc w:val="center"/>
        </w:trPr>
        <w:tc>
          <w:tcPr>
            <w:tcW w:w="1033"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2/1</w:t>
            </w:r>
          </w:p>
        </w:tc>
        <w:tc>
          <w:tcPr>
            <w:tcW w:w="1050"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poddasze</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2</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1</w:t>
            </w:r>
          </w:p>
        </w:tc>
        <w:tc>
          <w:tcPr>
            <w:tcW w:w="972" w:type="pct"/>
            <w:shd w:val="clear" w:color="auto" w:fill="auto"/>
            <w:vAlign w:val="center"/>
            <w:hideMark/>
          </w:tcPr>
          <w:p w:rsidR="00B611CD" w:rsidRPr="00FE7A93" w:rsidRDefault="00B611CD" w:rsidP="00D166A8">
            <w:pPr>
              <w:spacing w:line="240" w:lineRule="auto"/>
              <w:jc w:val="center"/>
              <w:rPr>
                <w:rFonts w:eastAsia="Times New Roman" w:cs="Arial"/>
                <w:color w:val="000000"/>
                <w:lang w:eastAsia="pl-PL"/>
              </w:rPr>
            </w:pPr>
            <w:r w:rsidRPr="00FE7A93">
              <w:rPr>
                <w:rFonts w:eastAsia="Times New Roman" w:cs="Arial"/>
                <w:color w:val="000000"/>
                <w:lang w:eastAsia="pl-PL"/>
              </w:rPr>
              <w:t xml:space="preserve">oprawa awaryjna na suficie                                                                                                                                                                                                                                      </w:t>
            </w:r>
          </w:p>
        </w:tc>
      </w:tr>
    </w:tbl>
    <w:p w:rsidR="001852CC" w:rsidRDefault="001852CC" w:rsidP="001852CC">
      <w:pPr>
        <w:rPr>
          <w:lang w:bidi="en-US"/>
        </w:rPr>
      </w:pPr>
    </w:p>
    <w:p w:rsidR="00B502AD" w:rsidRDefault="00B502AD">
      <w:pPr>
        <w:spacing w:after="160" w:line="259" w:lineRule="auto"/>
        <w:rPr>
          <w:rFonts w:eastAsia="Times New Roman" w:cs="Arial"/>
          <w:color w:val="000000"/>
          <w:lang w:eastAsia="pl-PL"/>
        </w:rPr>
      </w:pPr>
      <w:r>
        <w:rPr>
          <w:rFonts w:eastAsia="Times New Roman" w:cs="Arial"/>
          <w:color w:val="000000"/>
          <w:lang w:eastAsia="pl-PL"/>
        </w:rPr>
        <w:t>Przewiduje się wymianę istniejących oprawa awaryjnych</w:t>
      </w:r>
      <w:r w:rsidR="003B1B09">
        <w:rPr>
          <w:rFonts w:eastAsia="Times New Roman" w:cs="Arial"/>
          <w:color w:val="000000"/>
          <w:lang w:eastAsia="pl-PL"/>
        </w:rPr>
        <w:t xml:space="preserve"> na nowe</w:t>
      </w:r>
      <w:r>
        <w:rPr>
          <w:rFonts w:eastAsia="Times New Roman" w:cs="Arial"/>
          <w:color w:val="000000"/>
          <w:lang w:eastAsia="pl-PL"/>
        </w:rPr>
        <w:t>. Na obiekcie są zainstalowane oprawy:</w:t>
      </w:r>
    </w:p>
    <w:p w:rsidR="00B502AD" w:rsidRDefault="00903107">
      <w:pPr>
        <w:spacing w:after="160" w:line="259" w:lineRule="auto"/>
        <w:rPr>
          <w:rFonts w:eastAsia="Times New Roman" w:cs="Arial"/>
          <w:color w:val="000000"/>
          <w:lang w:eastAsia="pl-PL"/>
        </w:rPr>
      </w:pPr>
      <w:r>
        <w:rPr>
          <w:rFonts w:eastAsia="Times New Roman" w:cs="Arial"/>
          <w:color w:val="000000"/>
          <w:lang w:eastAsia="pl-PL"/>
        </w:rPr>
        <w:t>firmy TM Technologie, oznaczenie wyrobu:</w:t>
      </w:r>
      <w:r w:rsidR="00B502AD">
        <w:rPr>
          <w:rFonts w:eastAsia="Times New Roman" w:cs="Arial"/>
          <w:color w:val="000000"/>
          <w:lang w:eastAsia="pl-PL"/>
        </w:rPr>
        <w:t xml:space="preserve"> </w:t>
      </w:r>
      <w:r w:rsidR="003B1B09">
        <w:rPr>
          <w:rFonts w:eastAsia="Times New Roman" w:cs="Arial"/>
          <w:color w:val="000000"/>
          <w:lang w:eastAsia="pl-PL"/>
        </w:rPr>
        <w:t>iTECH 1L/1/3W/N ST które przeznaczone są do demontażu. Oprawy te należy zastąpić oprawami AW1 opisanymi w zestawieniu materiałów rozdz. 6 pkt 1.</w:t>
      </w:r>
    </w:p>
    <w:p w:rsidR="003B1B09" w:rsidRPr="00111EB0" w:rsidRDefault="003B1B09">
      <w:pPr>
        <w:spacing w:after="160" w:line="259" w:lineRule="auto"/>
        <w:rPr>
          <w:rFonts w:eastAsia="Times New Roman" w:cs="Arial"/>
          <w:color w:val="000000"/>
          <w:lang w:eastAsia="pl-PL"/>
        </w:rPr>
      </w:pPr>
    </w:p>
    <w:p w:rsidR="003B1B09" w:rsidRDefault="003B1B09">
      <w:pPr>
        <w:spacing w:after="160" w:line="259" w:lineRule="auto"/>
        <w:rPr>
          <w:rFonts w:eastAsia="Times New Roman" w:cs="Times New Roman"/>
          <w:b/>
          <w:bCs/>
          <w:i/>
          <w:sz w:val="28"/>
          <w:szCs w:val="28"/>
          <w:lang w:bidi="en-US"/>
        </w:rPr>
      </w:pPr>
      <w:r>
        <w:rPr>
          <w:i/>
          <w:sz w:val="28"/>
          <w:szCs w:val="28"/>
        </w:rPr>
        <w:br w:type="page"/>
      </w:r>
    </w:p>
    <w:p w:rsidR="00653C25" w:rsidRDefault="00B4600A" w:rsidP="00653C25">
      <w:pPr>
        <w:pStyle w:val="Nagwek2"/>
        <w:spacing w:after="240"/>
        <w:jc w:val="both"/>
        <w:rPr>
          <w:i/>
          <w:sz w:val="28"/>
          <w:szCs w:val="28"/>
          <w:lang w:val="pl-PL"/>
        </w:rPr>
      </w:pPr>
      <w:bookmarkStart w:id="23" w:name="_Toc174128438"/>
      <w:r>
        <w:rPr>
          <w:i/>
          <w:sz w:val="28"/>
          <w:szCs w:val="28"/>
          <w:lang w:val="pl-PL"/>
        </w:rPr>
        <w:lastRenderedPageBreak/>
        <w:t>5</w:t>
      </w:r>
      <w:r w:rsidR="00CA60A4">
        <w:rPr>
          <w:i/>
          <w:sz w:val="28"/>
          <w:szCs w:val="28"/>
          <w:lang w:val="pl-PL"/>
        </w:rPr>
        <w:t xml:space="preserve">. </w:t>
      </w:r>
      <w:r w:rsidR="00653C25">
        <w:rPr>
          <w:i/>
          <w:sz w:val="28"/>
          <w:szCs w:val="28"/>
          <w:lang w:val="pl-PL"/>
        </w:rPr>
        <w:t>Uwagi końcowe</w:t>
      </w:r>
      <w:bookmarkEnd w:id="23"/>
    </w:p>
    <w:p w:rsidR="00A53B90" w:rsidRPr="00CE04B2" w:rsidRDefault="00A53B90" w:rsidP="00A53B90">
      <w:pPr>
        <w:ind w:firstLine="426"/>
        <w:jc w:val="both"/>
      </w:pPr>
      <w:r w:rsidRPr="00CE04B2">
        <w:t>Przed oddaniem instalacji do eksploatacji należy wykonać wszystkie niezbędne pomiary. Wszelkie prace przy instalacjach elektrycznych muszą być nadzorowane przez osoby posiadające uprawnienia do kierowania robotami budowlanymi o specjalności instalacyjnej w zakresie sieci, instal</w:t>
      </w:r>
      <w:r w:rsidR="00242715">
        <w:t>acji i urządzeń elektrycznych i </w:t>
      </w:r>
      <w:r w:rsidRPr="00CE04B2">
        <w:t>elektroenergetycznych. Wykonawca jest zobowiązany do zrealizowania wszystk</w:t>
      </w:r>
      <w:r w:rsidR="00242715">
        <w:t>ich brakujących i pominiętych w </w:t>
      </w:r>
      <w:r w:rsidRPr="00CE04B2">
        <w:t xml:space="preserve">niniejszym opracowaniu elementów instalacji niezbędnych do prawidłowego i bezpiecznego jej działania. </w:t>
      </w:r>
    </w:p>
    <w:p w:rsidR="003B2EDE" w:rsidRDefault="00E73782" w:rsidP="00E73782">
      <w:pPr>
        <w:jc w:val="both"/>
      </w:pPr>
      <w:r>
        <w:t xml:space="preserve">Elementy </w:t>
      </w:r>
      <w:r w:rsidR="00B4600A">
        <w:t>oświetlenia awaryjnego należy</w:t>
      </w:r>
      <w:r w:rsidR="00A53B90" w:rsidRPr="00CE04B2">
        <w:t xml:space="preserve"> instalować zg</w:t>
      </w:r>
      <w:bookmarkStart w:id="24" w:name="_GoBack"/>
      <w:bookmarkEnd w:id="24"/>
      <w:r w:rsidR="00A53B90" w:rsidRPr="00CE04B2">
        <w:t xml:space="preserve">odnie z załączonymi planami instalacji elektrycznej łącznie </w:t>
      </w:r>
      <w:r w:rsidR="00242715">
        <w:t>z </w:t>
      </w:r>
      <w:r w:rsidR="00A53B90" w:rsidRPr="00CE04B2">
        <w:t>bezpośrednimi ustaleniami z Inwestorem lub Inspektorem nadzoru.</w:t>
      </w:r>
      <w:r w:rsidR="00531822">
        <w:t xml:space="preserve"> </w:t>
      </w:r>
    </w:p>
    <w:p w:rsidR="005D70BD" w:rsidRDefault="00531822" w:rsidP="00E73782">
      <w:pPr>
        <w:jc w:val="both"/>
      </w:pPr>
      <w:r>
        <w:t xml:space="preserve">Projekt </w:t>
      </w:r>
      <w:r w:rsidR="003B2EDE">
        <w:t>został</w:t>
      </w:r>
      <w:r>
        <w:t xml:space="preserve"> uzgodni</w:t>
      </w:r>
      <w:r w:rsidR="003B2EDE">
        <w:t>ony</w:t>
      </w:r>
      <w:r>
        <w:t xml:space="preserve"> z Wojewódzkim Konserwatorem Zabytków.</w:t>
      </w:r>
    </w:p>
    <w:p w:rsidR="000A2EE4" w:rsidRDefault="000A2EE4" w:rsidP="00AB1053">
      <w:pPr>
        <w:rPr>
          <w:i/>
          <w:sz w:val="28"/>
          <w:szCs w:val="28"/>
        </w:rPr>
      </w:pPr>
    </w:p>
    <w:p w:rsidR="00C00B85" w:rsidRPr="00C00B85" w:rsidRDefault="00C00B85" w:rsidP="00C00B85">
      <w:pPr>
        <w:ind w:firstLine="426"/>
        <w:jc w:val="both"/>
      </w:pPr>
      <w:r w:rsidRPr="00C00B85">
        <w:t>Obwody oświetleniowe są zabezpieczone w rozdzielni głównej następującymi obwodami:</w:t>
      </w:r>
    </w:p>
    <w:p w:rsidR="00C00B85" w:rsidRPr="00C00B85" w:rsidRDefault="00C00B85">
      <w:pPr>
        <w:spacing w:after="160" w:line="259" w:lineRule="auto"/>
      </w:pPr>
      <w:r w:rsidRPr="00C00B85">
        <w:t xml:space="preserve">Pole 1: </w:t>
      </w:r>
    </w:p>
    <w:p w:rsidR="00C00B85" w:rsidRPr="00C00B85" w:rsidRDefault="00C00B85">
      <w:pPr>
        <w:spacing w:after="160" w:line="259" w:lineRule="auto"/>
      </w:pPr>
      <w:r w:rsidRPr="00C00B85">
        <w:t>- obw. 5 (żyrandole – sala konferencyjna, I piętro)</w:t>
      </w:r>
    </w:p>
    <w:p w:rsidR="00C00B85" w:rsidRPr="00C00B85" w:rsidRDefault="00C00B85">
      <w:pPr>
        <w:spacing w:after="160" w:line="259" w:lineRule="auto"/>
      </w:pPr>
      <w:r w:rsidRPr="00C00B85">
        <w:t>- obw. 6. (parter, sale obok głównej + oświetlenie rzeźb + oświetlenie szatni górne)</w:t>
      </w:r>
    </w:p>
    <w:p w:rsidR="00C00B85" w:rsidRPr="00C00B85" w:rsidRDefault="00C00B85">
      <w:pPr>
        <w:spacing w:after="160" w:line="259" w:lineRule="auto"/>
      </w:pPr>
      <w:r w:rsidRPr="00C00B85">
        <w:t xml:space="preserve">- obw. 11 </w:t>
      </w:r>
      <w:r>
        <w:t>(</w:t>
      </w:r>
      <w:r w:rsidRPr="00C00B85">
        <w:t>kinkiety – I piętro (sala konferencyjna)</w:t>
      </w:r>
      <w:r>
        <w:t>)</w:t>
      </w:r>
    </w:p>
    <w:p w:rsidR="00C00B85" w:rsidRPr="00C00B85" w:rsidRDefault="00C00B85">
      <w:pPr>
        <w:spacing w:after="160" w:line="259" w:lineRule="auto"/>
      </w:pPr>
      <w:r w:rsidRPr="00C00B85">
        <w:t xml:space="preserve">- obw. 12 (światło – pom. Biurowe – I piętro + kinkiety pom. 2) </w:t>
      </w:r>
    </w:p>
    <w:p w:rsidR="00C00B85" w:rsidRPr="00C00B85" w:rsidRDefault="00C00B85">
      <w:pPr>
        <w:spacing w:after="160" w:line="259" w:lineRule="auto"/>
      </w:pPr>
    </w:p>
    <w:p w:rsidR="00C00B85" w:rsidRPr="00C00B85" w:rsidRDefault="00C00B85">
      <w:pPr>
        <w:spacing w:after="160" w:line="259" w:lineRule="auto"/>
      </w:pPr>
      <w:r w:rsidRPr="00C00B85">
        <w:t>Pole 2:</w:t>
      </w:r>
    </w:p>
    <w:p w:rsidR="00C00B85" w:rsidRPr="00C00B85" w:rsidRDefault="00C00B85">
      <w:pPr>
        <w:spacing w:after="160" w:line="259" w:lineRule="auto"/>
      </w:pPr>
      <w:r w:rsidRPr="00C00B85">
        <w:t>- obw. 3 (oświetlenie górne – pom. Główne – piwnica)</w:t>
      </w:r>
    </w:p>
    <w:p w:rsidR="00C00B85" w:rsidRPr="00C00B85" w:rsidRDefault="00C00B85">
      <w:pPr>
        <w:spacing w:after="160" w:line="259" w:lineRule="auto"/>
      </w:pPr>
      <w:r w:rsidRPr="00C00B85">
        <w:t>- obw. 5 (kinkiety, sala nr 1 – I piętro)</w:t>
      </w:r>
    </w:p>
    <w:p w:rsidR="00C00B85" w:rsidRPr="00C00B85" w:rsidRDefault="00C00B85">
      <w:pPr>
        <w:spacing w:after="160" w:line="259" w:lineRule="auto"/>
      </w:pPr>
      <w:r w:rsidRPr="00C00B85">
        <w:t>- obw. 7 (światło – poddasze)</w:t>
      </w:r>
    </w:p>
    <w:p w:rsidR="00C00B85" w:rsidRPr="00C00B85" w:rsidRDefault="00C00B85">
      <w:pPr>
        <w:spacing w:after="160" w:line="259" w:lineRule="auto"/>
      </w:pPr>
      <w:r w:rsidRPr="00C00B85">
        <w:t>- obw. 8 (oświetlenie – klatka schodowa + ośw. Łazienki)</w:t>
      </w:r>
    </w:p>
    <w:p w:rsidR="00C00B85" w:rsidRPr="00903107" w:rsidRDefault="00C00B85">
      <w:pPr>
        <w:spacing w:after="160" w:line="259" w:lineRule="auto"/>
      </w:pPr>
      <w:r w:rsidRPr="00C00B85">
        <w:t>- obw. 16 (oświetlenie piwnicy)</w:t>
      </w:r>
      <w:r w:rsidR="005103B3">
        <w:rPr>
          <w:i/>
          <w:sz w:val="28"/>
          <w:szCs w:val="28"/>
        </w:rPr>
        <w:br w:type="page"/>
      </w:r>
      <w:r w:rsidRPr="00903107">
        <w:lastRenderedPageBreak/>
        <w:t>Pole 3:</w:t>
      </w:r>
    </w:p>
    <w:p w:rsidR="00C00B85" w:rsidRPr="00903107" w:rsidRDefault="00C00B85">
      <w:pPr>
        <w:spacing w:after="160" w:line="259" w:lineRule="auto"/>
      </w:pPr>
      <w:r w:rsidRPr="00903107">
        <w:t>- obw. 4 oświetlenie łazienek – piwnica</w:t>
      </w:r>
    </w:p>
    <w:p w:rsidR="00C00B85" w:rsidRPr="00903107" w:rsidRDefault="00C00B85">
      <w:pPr>
        <w:spacing w:after="160" w:line="259" w:lineRule="auto"/>
      </w:pPr>
      <w:r w:rsidRPr="00903107">
        <w:t>- obw. 5 oświetlenie – kinkiety, sala główna, parter</w:t>
      </w:r>
    </w:p>
    <w:p w:rsidR="00C00B85" w:rsidRPr="00903107" w:rsidRDefault="00C00B85">
      <w:pPr>
        <w:spacing w:after="160" w:line="259" w:lineRule="auto"/>
      </w:pPr>
      <w:r w:rsidRPr="00903107">
        <w:t>- obw. 7 (oświetlenie górne pom. nr 2, I piętro</w:t>
      </w:r>
    </w:p>
    <w:p w:rsidR="00C00B85" w:rsidRPr="00903107" w:rsidRDefault="00C00B85">
      <w:pPr>
        <w:spacing w:after="160" w:line="259" w:lineRule="auto"/>
      </w:pPr>
      <w:r w:rsidRPr="00903107">
        <w:t>- obw. 11 (oświetlenie nad barakiem + wiatrołap + sala glówna)</w:t>
      </w:r>
    </w:p>
    <w:p w:rsidR="00C00B85" w:rsidRPr="00903107" w:rsidRDefault="00C00B85">
      <w:pPr>
        <w:spacing w:after="160" w:line="259" w:lineRule="auto"/>
      </w:pPr>
      <w:r w:rsidRPr="00903107">
        <w:t>- obw. 12 (kinkiety, sala boczna – piwnica)</w:t>
      </w:r>
    </w:p>
    <w:p w:rsidR="0093399D" w:rsidRPr="00903107" w:rsidRDefault="00C00B85">
      <w:pPr>
        <w:spacing w:after="160" w:line="259" w:lineRule="auto"/>
      </w:pPr>
      <w:r w:rsidRPr="00903107">
        <w:t>- obw. 13 (żyrandole sala nr 1 – I piętro + sala kominek</w:t>
      </w:r>
    </w:p>
    <w:p w:rsidR="00C00B85" w:rsidRDefault="00C00B85">
      <w:pPr>
        <w:spacing w:after="160" w:line="259" w:lineRule="auto"/>
        <w:rPr>
          <w:i/>
          <w:sz w:val="28"/>
          <w:szCs w:val="28"/>
        </w:rPr>
      </w:pPr>
    </w:p>
    <w:p w:rsidR="007E178D" w:rsidRDefault="007E178D" w:rsidP="007E178D">
      <w:pPr>
        <w:pStyle w:val="Nagwek2"/>
        <w:spacing w:after="240"/>
        <w:jc w:val="both"/>
        <w:rPr>
          <w:i/>
          <w:sz w:val="28"/>
          <w:szCs w:val="28"/>
          <w:lang w:val="pl-PL"/>
        </w:rPr>
      </w:pPr>
      <w:bookmarkStart w:id="25" w:name="_Toc174128439"/>
      <w:r>
        <w:rPr>
          <w:i/>
          <w:sz w:val="28"/>
          <w:szCs w:val="28"/>
          <w:lang w:val="pl-PL"/>
        </w:rPr>
        <w:t>6. Zestawienie podstawowych materiałów</w:t>
      </w:r>
      <w:bookmarkEnd w:id="25"/>
    </w:p>
    <w:tbl>
      <w:tblPr>
        <w:tblStyle w:val="Tabela-Siatka"/>
        <w:tblW w:w="5000" w:type="pct"/>
        <w:tblLook w:val="04A0"/>
      </w:tblPr>
      <w:tblGrid>
        <w:gridCol w:w="652"/>
        <w:gridCol w:w="6420"/>
        <w:gridCol w:w="789"/>
        <w:gridCol w:w="1427"/>
      </w:tblGrid>
      <w:tr w:rsidR="007E178D" w:rsidRPr="007E178D" w:rsidTr="00A13123">
        <w:tc>
          <w:tcPr>
            <w:tcW w:w="351" w:type="pct"/>
          </w:tcPr>
          <w:p w:rsidR="007E178D" w:rsidRPr="007E178D" w:rsidRDefault="007E178D" w:rsidP="00AB1053">
            <w:r w:rsidRPr="007E178D">
              <w:t>Lp.</w:t>
            </w:r>
          </w:p>
        </w:tc>
        <w:tc>
          <w:tcPr>
            <w:tcW w:w="3456" w:type="pct"/>
          </w:tcPr>
          <w:p w:rsidR="007E178D" w:rsidRPr="007E178D" w:rsidRDefault="007E178D" w:rsidP="00AB1053">
            <w:r w:rsidRPr="007E178D">
              <w:t>Materiał</w:t>
            </w:r>
          </w:p>
        </w:tc>
        <w:tc>
          <w:tcPr>
            <w:tcW w:w="425" w:type="pct"/>
          </w:tcPr>
          <w:p w:rsidR="007E178D" w:rsidRPr="007E178D" w:rsidRDefault="007E178D" w:rsidP="00AB1053">
            <w:r w:rsidRPr="007E178D">
              <w:t>Ilość</w:t>
            </w:r>
          </w:p>
        </w:tc>
        <w:tc>
          <w:tcPr>
            <w:tcW w:w="768" w:type="pct"/>
          </w:tcPr>
          <w:p w:rsidR="007E178D" w:rsidRPr="007E178D" w:rsidRDefault="00EE64AB" w:rsidP="00AB1053">
            <w:r>
              <w:t>Uwagi</w:t>
            </w:r>
          </w:p>
        </w:tc>
      </w:tr>
      <w:tr w:rsidR="00EE64AB" w:rsidRPr="007E178D" w:rsidTr="00A13123">
        <w:tc>
          <w:tcPr>
            <w:tcW w:w="351" w:type="pct"/>
          </w:tcPr>
          <w:p w:rsidR="00EE64AB" w:rsidRPr="009478C6" w:rsidRDefault="00A13123" w:rsidP="00AB1053">
            <w:pPr>
              <w:rPr>
                <w:rFonts w:ascii="Tahoma" w:hAnsi="Tahoma" w:cs="Tahoma"/>
                <w:color w:val="222222"/>
                <w:sz w:val="16"/>
                <w:szCs w:val="16"/>
                <w:shd w:val="clear" w:color="auto" w:fill="FFFFFF"/>
              </w:rPr>
            </w:pPr>
            <w:r w:rsidRPr="009478C6">
              <w:rPr>
                <w:rFonts w:ascii="Tahoma" w:hAnsi="Tahoma" w:cs="Tahoma"/>
                <w:color w:val="222222"/>
                <w:sz w:val="16"/>
                <w:szCs w:val="16"/>
                <w:shd w:val="clear" w:color="auto" w:fill="FFFFFF"/>
              </w:rPr>
              <w:t>1</w:t>
            </w:r>
            <w:r w:rsidR="00EE64AB" w:rsidRPr="009478C6">
              <w:rPr>
                <w:rFonts w:ascii="Tahoma" w:hAnsi="Tahoma" w:cs="Tahoma"/>
                <w:color w:val="222222"/>
                <w:sz w:val="16"/>
                <w:szCs w:val="16"/>
                <w:shd w:val="clear" w:color="auto" w:fill="FFFFFF"/>
              </w:rPr>
              <w:t>.</w:t>
            </w:r>
          </w:p>
        </w:tc>
        <w:tc>
          <w:tcPr>
            <w:tcW w:w="3456" w:type="pct"/>
          </w:tcPr>
          <w:p w:rsidR="00EE64AB" w:rsidRDefault="00F745E0" w:rsidP="00F745E0">
            <w:pPr>
              <w:autoSpaceDE w:val="0"/>
              <w:autoSpaceDN w:val="0"/>
              <w:adjustRightInd w:val="0"/>
              <w:spacing w:line="240" w:lineRule="auto"/>
              <w:jc w:val="both"/>
              <w:rPr>
                <w:rFonts w:ascii="Tahoma" w:hAnsi="Tahoma" w:cs="Tahoma"/>
                <w:color w:val="222222"/>
                <w:sz w:val="16"/>
                <w:szCs w:val="16"/>
                <w:shd w:val="clear" w:color="auto" w:fill="FFFFFF"/>
              </w:rPr>
            </w:pPr>
            <w:r w:rsidRPr="00F745E0">
              <w:rPr>
                <w:rFonts w:ascii="Tahoma" w:hAnsi="Tahoma" w:cs="Tahoma"/>
                <w:color w:val="222222"/>
                <w:sz w:val="16"/>
                <w:szCs w:val="16"/>
                <w:shd w:val="clear" w:color="auto" w:fill="FFFFFF"/>
              </w:rPr>
              <w:t xml:space="preserve">Oprawa awaryjna LED, IP42, IK07, 2 klasa ochronności, pobór mocy maks. 6W, montaż: nastropowy lub naścienny, dwuzadaniowa z możliwością wyboru pracy jedno- </w:t>
            </w:r>
            <w:r>
              <w:rPr>
                <w:rFonts w:ascii="Tahoma" w:hAnsi="Tahoma" w:cs="Tahoma"/>
                <w:color w:val="222222"/>
                <w:sz w:val="16"/>
                <w:szCs w:val="16"/>
                <w:shd w:val="clear" w:color="auto" w:fill="FFFFFF"/>
              </w:rPr>
              <w:br/>
            </w:r>
            <w:r w:rsidRPr="00F745E0">
              <w:rPr>
                <w:rFonts w:ascii="Tahoma" w:hAnsi="Tahoma" w:cs="Tahoma"/>
                <w:color w:val="222222"/>
                <w:sz w:val="16"/>
                <w:szCs w:val="16"/>
                <w:shd w:val="clear" w:color="auto" w:fill="FFFFFF"/>
              </w:rPr>
              <w:t>i dwuzadaniowej, z systemem autotest, akumulator o żywotności 10 lat z czasem ładowania 12h, czas autonomii: 1h</w:t>
            </w:r>
            <w:r>
              <w:rPr>
                <w:rFonts w:ascii="Tahoma" w:hAnsi="Tahoma" w:cs="Tahoma"/>
                <w:color w:val="222222"/>
                <w:sz w:val="16"/>
                <w:szCs w:val="16"/>
                <w:shd w:val="clear" w:color="auto" w:fill="FFFFFF"/>
              </w:rPr>
              <w:t xml:space="preserve"> / 3h</w:t>
            </w:r>
            <w:r w:rsidRPr="00F745E0">
              <w:rPr>
                <w:rFonts w:ascii="Tahoma" w:hAnsi="Tahoma" w:cs="Tahoma"/>
                <w:color w:val="222222"/>
                <w:sz w:val="16"/>
                <w:szCs w:val="16"/>
                <w:shd w:val="clear" w:color="auto" w:fill="FFFFFF"/>
              </w:rPr>
              <w:t>; wielokolorowa dioda LED sygnalizująca stan pracy oprawy; obudowa: biały poliwęglan; układ optyczny: soczewki PMMA, klosz: przezroczysty poliwęglan; strumień świetlny oprawy: 1000lm (tryb awaryjny) oraz 250lm (tryb sieciowy); podłączenie do zasilania wewnątrz puszki instalacyjnej, bez otwierania klosza i odbłyśnika oprawy;  zgodność z normami EN 60598-1, EN 60598-2-2, EN 60598-2-22, UNI EN 1838, UNI 11222, EN 62034</w:t>
            </w:r>
          </w:p>
        </w:tc>
        <w:tc>
          <w:tcPr>
            <w:tcW w:w="425" w:type="pct"/>
          </w:tcPr>
          <w:p w:rsidR="00EE64AB" w:rsidRPr="009478C6" w:rsidRDefault="007C58F1" w:rsidP="009F404A">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4</w:t>
            </w:r>
            <w:r w:rsidR="009F404A">
              <w:rPr>
                <w:rFonts w:ascii="Tahoma" w:hAnsi="Tahoma" w:cs="Tahoma"/>
                <w:color w:val="222222"/>
                <w:sz w:val="16"/>
                <w:szCs w:val="16"/>
                <w:shd w:val="clear" w:color="auto" w:fill="FFFFFF"/>
              </w:rPr>
              <w:t>2</w:t>
            </w:r>
            <w:r w:rsidR="009478C6" w:rsidRPr="009478C6">
              <w:rPr>
                <w:rFonts w:ascii="Tahoma" w:hAnsi="Tahoma" w:cs="Tahoma"/>
                <w:color w:val="222222"/>
                <w:sz w:val="16"/>
                <w:szCs w:val="16"/>
                <w:shd w:val="clear" w:color="auto" w:fill="FFFFFF"/>
              </w:rPr>
              <w:t xml:space="preserve"> szt.</w:t>
            </w:r>
          </w:p>
        </w:tc>
        <w:tc>
          <w:tcPr>
            <w:tcW w:w="768" w:type="pct"/>
          </w:tcPr>
          <w:p w:rsidR="00EE64AB" w:rsidRDefault="005103B3"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AW1</w:t>
            </w:r>
          </w:p>
          <w:p w:rsidR="00B502AD" w:rsidRPr="009478C6" w:rsidRDefault="00B502AD"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Kolor biały</w:t>
            </w:r>
          </w:p>
        </w:tc>
      </w:tr>
      <w:tr w:rsidR="005103B3" w:rsidRPr="007E178D" w:rsidTr="00A13123">
        <w:tc>
          <w:tcPr>
            <w:tcW w:w="351" w:type="pct"/>
          </w:tcPr>
          <w:p w:rsidR="005103B3" w:rsidRPr="009478C6" w:rsidRDefault="005103B3"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2.</w:t>
            </w:r>
          </w:p>
        </w:tc>
        <w:tc>
          <w:tcPr>
            <w:tcW w:w="3456" w:type="pct"/>
          </w:tcPr>
          <w:p w:rsidR="005103B3" w:rsidRPr="00F745E0" w:rsidRDefault="00F745E0" w:rsidP="00F745E0">
            <w:pPr>
              <w:autoSpaceDE w:val="0"/>
              <w:autoSpaceDN w:val="0"/>
              <w:adjustRightInd w:val="0"/>
              <w:spacing w:line="240" w:lineRule="auto"/>
              <w:jc w:val="both"/>
              <w:rPr>
                <w:rFonts w:ascii="romans.shx" w:hAnsi="romans.shx" w:cs="romans.shx"/>
                <w:sz w:val="24"/>
                <w:szCs w:val="24"/>
              </w:rPr>
            </w:pPr>
            <w:r w:rsidRPr="00F745E0">
              <w:rPr>
                <w:rFonts w:ascii="Tahoma" w:hAnsi="Tahoma" w:cs="Tahoma"/>
                <w:color w:val="222222"/>
                <w:sz w:val="16"/>
                <w:szCs w:val="16"/>
                <w:shd w:val="clear" w:color="auto" w:fill="FFFFFF"/>
              </w:rPr>
              <w:t>Oprawa awaryjna LED, IP65, IK07, 2 klasa ochronności, pobór mocy maks. 7,5W, montaż: naścienny lub nastropowy, moduł awaryjny składający się z ładowarki, źródła prądu stałego i jednostki kontrolującej; akumulator z żywotnością 10 lat; autonomia 1h</w:t>
            </w:r>
            <w:r>
              <w:rPr>
                <w:rFonts w:ascii="Tahoma" w:hAnsi="Tahoma" w:cs="Tahoma"/>
                <w:color w:val="222222"/>
                <w:sz w:val="16"/>
                <w:szCs w:val="16"/>
                <w:shd w:val="clear" w:color="auto" w:fill="FFFFFF"/>
              </w:rPr>
              <w:t xml:space="preserve"> / 3h</w:t>
            </w:r>
            <w:r w:rsidRPr="00F745E0">
              <w:rPr>
                <w:rFonts w:ascii="Tahoma" w:hAnsi="Tahoma" w:cs="Tahoma"/>
                <w:color w:val="222222"/>
                <w:sz w:val="16"/>
                <w:szCs w:val="16"/>
                <w:shd w:val="clear" w:color="auto" w:fill="FFFFFF"/>
              </w:rPr>
              <w:t>, wielokolorowa dioda LED sygnalizująca stan pracy oprawy; dwuzadaniowa (praca „na jasno” lub "na ciemno"), z funkcją autotest, obudowa wykonana z samogasnącego poliwęglanu, odbłyśnik symetryczny biały z poliwęglanu, klosz wysokoprzezroczysty, strumień po przejściu przez zespół optyczny =500lm dla pracy SE oraz 250lm dla pracy SA, zakres temperaturowy pracy: -10°C ÷ +45°C, zgodność z normami EN 60598-1, EN 60598-2-2, EN 60598-2-22, UNI EN 1838, UNI 11222, EN 62034, ENEC</w:t>
            </w:r>
          </w:p>
        </w:tc>
        <w:tc>
          <w:tcPr>
            <w:tcW w:w="425" w:type="pct"/>
          </w:tcPr>
          <w:p w:rsidR="005103B3" w:rsidRPr="009478C6" w:rsidRDefault="00A930A5"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6</w:t>
            </w:r>
            <w:r w:rsidR="00A653B6">
              <w:rPr>
                <w:rFonts w:ascii="Tahoma" w:hAnsi="Tahoma" w:cs="Tahoma"/>
                <w:color w:val="222222"/>
                <w:sz w:val="16"/>
                <w:szCs w:val="16"/>
                <w:shd w:val="clear" w:color="auto" w:fill="FFFFFF"/>
              </w:rPr>
              <w:t xml:space="preserve"> </w:t>
            </w:r>
            <w:r w:rsidR="005103B3">
              <w:rPr>
                <w:rFonts w:ascii="Tahoma" w:hAnsi="Tahoma" w:cs="Tahoma"/>
                <w:color w:val="222222"/>
                <w:sz w:val="16"/>
                <w:szCs w:val="16"/>
                <w:shd w:val="clear" w:color="auto" w:fill="FFFFFF"/>
              </w:rPr>
              <w:t>szt.</w:t>
            </w:r>
          </w:p>
        </w:tc>
        <w:tc>
          <w:tcPr>
            <w:tcW w:w="768" w:type="pct"/>
          </w:tcPr>
          <w:p w:rsidR="005103B3" w:rsidRDefault="005103B3"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AW2</w:t>
            </w:r>
          </w:p>
          <w:p w:rsidR="00B502AD" w:rsidRPr="009478C6" w:rsidRDefault="00B502AD"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Kolor biały</w:t>
            </w:r>
          </w:p>
        </w:tc>
      </w:tr>
      <w:tr w:rsidR="007202B1" w:rsidRPr="007E178D" w:rsidTr="00A13123">
        <w:tc>
          <w:tcPr>
            <w:tcW w:w="351" w:type="pct"/>
          </w:tcPr>
          <w:p w:rsidR="007202B1" w:rsidRPr="009478C6" w:rsidRDefault="007202B1" w:rsidP="005C258B">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3</w:t>
            </w:r>
            <w:r w:rsidRPr="009478C6">
              <w:rPr>
                <w:rFonts w:ascii="Tahoma" w:hAnsi="Tahoma" w:cs="Tahoma"/>
                <w:color w:val="222222"/>
                <w:sz w:val="16"/>
                <w:szCs w:val="16"/>
                <w:shd w:val="clear" w:color="auto" w:fill="FFFFFF"/>
              </w:rPr>
              <w:t>.</w:t>
            </w:r>
          </w:p>
        </w:tc>
        <w:tc>
          <w:tcPr>
            <w:tcW w:w="3456" w:type="pct"/>
          </w:tcPr>
          <w:p w:rsidR="007202B1" w:rsidRPr="00B502AD" w:rsidRDefault="00F745E0" w:rsidP="00F745E0">
            <w:pPr>
              <w:autoSpaceDE w:val="0"/>
              <w:autoSpaceDN w:val="0"/>
              <w:adjustRightInd w:val="0"/>
              <w:spacing w:line="240" w:lineRule="auto"/>
              <w:jc w:val="both"/>
              <w:rPr>
                <w:rFonts w:ascii="Tahoma" w:hAnsi="Tahoma" w:cs="Tahoma"/>
                <w:color w:val="222222"/>
                <w:sz w:val="16"/>
                <w:szCs w:val="16"/>
                <w:shd w:val="clear" w:color="auto" w:fill="FFFFFF"/>
              </w:rPr>
            </w:pPr>
            <w:r w:rsidRPr="00F745E0">
              <w:rPr>
                <w:rFonts w:ascii="Tahoma" w:hAnsi="Tahoma" w:cs="Tahoma"/>
                <w:color w:val="222222"/>
                <w:sz w:val="16"/>
                <w:szCs w:val="16"/>
                <w:shd w:val="clear" w:color="auto" w:fill="FFFFFF"/>
              </w:rPr>
              <w:t>Oprawa ewakuacyjna LED, montaż naścienny lub nastropowy, jednostronna</w:t>
            </w:r>
            <w:r>
              <w:rPr>
                <w:rFonts w:ascii="Tahoma" w:hAnsi="Tahoma" w:cs="Tahoma"/>
                <w:color w:val="222222"/>
                <w:sz w:val="16"/>
                <w:szCs w:val="16"/>
                <w:shd w:val="clear" w:color="auto" w:fill="FFFFFF"/>
              </w:rPr>
              <w:t xml:space="preserve"> </w:t>
            </w:r>
            <w:r w:rsidRPr="00F745E0">
              <w:rPr>
                <w:rFonts w:ascii="Tahoma" w:hAnsi="Tahoma" w:cs="Tahoma"/>
                <w:color w:val="222222"/>
                <w:sz w:val="16"/>
                <w:szCs w:val="16"/>
                <w:shd w:val="clear" w:color="auto" w:fill="FFFFFF"/>
              </w:rPr>
              <w:t>/</w:t>
            </w:r>
            <w:r>
              <w:rPr>
                <w:rFonts w:ascii="Tahoma" w:hAnsi="Tahoma" w:cs="Tahoma"/>
                <w:color w:val="222222"/>
                <w:sz w:val="16"/>
                <w:szCs w:val="16"/>
                <w:shd w:val="clear" w:color="auto" w:fill="FFFFFF"/>
              </w:rPr>
              <w:t xml:space="preserve"> </w:t>
            </w:r>
            <w:r w:rsidRPr="00F745E0">
              <w:rPr>
                <w:rFonts w:ascii="Tahoma" w:hAnsi="Tahoma" w:cs="Tahoma"/>
                <w:color w:val="222222"/>
                <w:sz w:val="16"/>
                <w:szCs w:val="16"/>
                <w:shd w:val="clear" w:color="auto" w:fill="FFFFFF"/>
              </w:rPr>
              <w:t>dwustronna, z piktogramem, IP42, dwuzadaniowa (praca "na jasno" lub "na ciemno"), z systemem autotest wykonującym test funkcjonalny co 28 dni i autonomiczny co 6 miesięcy, wyposażona w akumulator z żywotnością 10 lat, czas autonomii 1h, wielokolorowa dioda LED sygnalizująca stan pracy oprawy, pobór mocy 5W, obudowa wykonana z aluminium, klosz z poliwęglanu, widzialność piktogramów do 20m, świadectwo CNBOP, zgodność z normami EN 60598-1, EN 60598-2,-2, EN 60598-2-22, UNI-EN 1838, UNI 11222, DIN 4844-1</w:t>
            </w:r>
          </w:p>
        </w:tc>
        <w:tc>
          <w:tcPr>
            <w:tcW w:w="425" w:type="pct"/>
          </w:tcPr>
          <w:p w:rsidR="007202B1" w:rsidRDefault="00920C4F"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13</w:t>
            </w:r>
            <w:r w:rsidR="007202B1">
              <w:rPr>
                <w:rFonts w:ascii="Tahoma" w:hAnsi="Tahoma" w:cs="Tahoma"/>
                <w:color w:val="222222"/>
                <w:sz w:val="16"/>
                <w:szCs w:val="16"/>
                <w:shd w:val="clear" w:color="auto" w:fill="FFFFFF"/>
              </w:rPr>
              <w:t xml:space="preserve"> szt.</w:t>
            </w:r>
          </w:p>
        </w:tc>
        <w:tc>
          <w:tcPr>
            <w:tcW w:w="768" w:type="pct"/>
          </w:tcPr>
          <w:p w:rsidR="007202B1" w:rsidRDefault="007202B1" w:rsidP="00AB1053">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EW1</w:t>
            </w:r>
          </w:p>
        </w:tc>
      </w:tr>
      <w:tr w:rsidR="007202B1" w:rsidRPr="007E178D" w:rsidTr="00A13123">
        <w:tc>
          <w:tcPr>
            <w:tcW w:w="351" w:type="pct"/>
          </w:tcPr>
          <w:p w:rsidR="007202B1" w:rsidRDefault="007202B1" w:rsidP="005C258B">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4.</w:t>
            </w:r>
          </w:p>
        </w:tc>
        <w:tc>
          <w:tcPr>
            <w:tcW w:w="3456" w:type="pct"/>
          </w:tcPr>
          <w:p w:rsidR="007202B1" w:rsidRPr="009478C6" w:rsidRDefault="007202B1" w:rsidP="009478C6">
            <w:pPr>
              <w:rPr>
                <w:rFonts w:ascii="Tahoma" w:hAnsi="Tahoma" w:cs="Tahoma"/>
                <w:color w:val="222222"/>
                <w:sz w:val="16"/>
                <w:szCs w:val="16"/>
                <w:shd w:val="clear" w:color="auto" w:fill="FFFFFF"/>
              </w:rPr>
            </w:pPr>
            <w:r>
              <w:rPr>
                <w:rFonts w:ascii="Tahoma" w:hAnsi="Tahoma" w:cs="Tahoma"/>
                <w:color w:val="222222"/>
                <w:sz w:val="16"/>
                <w:szCs w:val="16"/>
                <w:shd w:val="clear" w:color="auto" w:fill="FFFFFF"/>
              </w:rPr>
              <w:t>Przewód kabelkowy</w:t>
            </w:r>
            <w:r w:rsidRPr="009478C6">
              <w:rPr>
                <w:rFonts w:ascii="Tahoma" w:hAnsi="Tahoma" w:cs="Tahoma"/>
                <w:color w:val="222222"/>
                <w:sz w:val="16"/>
                <w:szCs w:val="16"/>
                <w:shd w:val="clear" w:color="auto" w:fill="FFFFFF"/>
              </w:rPr>
              <w:t xml:space="preserve"> N2XH 3x1,5 </w:t>
            </w:r>
            <w:r>
              <w:rPr>
                <w:rFonts w:ascii="Tahoma" w:hAnsi="Tahoma" w:cs="Tahoma"/>
                <w:color w:val="222222"/>
                <w:sz w:val="16"/>
                <w:szCs w:val="16"/>
                <w:shd w:val="clear" w:color="auto" w:fill="FFFFFF"/>
              </w:rPr>
              <w:t>mm</w:t>
            </w:r>
            <w:r w:rsidRPr="003B2EDE">
              <w:rPr>
                <w:rFonts w:ascii="Tahoma" w:hAnsi="Tahoma" w:cs="Tahoma"/>
                <w:color w:val="222222"/>
                <w:sz w:val="16"/>
                <w:szCs w:val="16"/>
                <w:shd w:val="clear" w:color="auto" w:fill="FFFFFF"/>
                <w:vertAlign w:val="superscript"/>
              </w:rPr>
              <w:t>2</w:t>
            </w:r>
          </w:p>
        </w:tc>
        <w:tc>
          <w:tcPr>
            <w:tcW w:w="425" w:type="pct"/>
          </w:tcPr>
          <w:p w:rsidR="007202B1" w:rsidRPr="009478C6" w:rsidRDefault="007202B1" w:rsidP="00AB1053">
            <w:pPr>
              <w:rPr>
                <w:rFonts w:ascii="Tahoma" w:hAnsi="Tahoma" w:cs="Tahoma"/>
                <w:color w:val="222222"/>
                <w:sz w:val="16"/>
                <w:szCs w:val="16"/>
                <w:shd w:val="clear" w:color="auto" w:fill="FFFFFF"/>
              </w:rPr>
            </w:pPr>
            <w:r w:rsidRPr="009478C6">
              <w:rPr>
                <w:rFonts w:ascii="Tahoma" w:hAnsi="Tahoma" w:cs="Tahoma"/>
                <w:color w:val="222222"/>
                <w:sz w:val="16"/>
                <w:szCs w:val="16"/>
                <w:shd w:val="clear" w:color="auto" w:fill="FFFFFF"/>
              </w:rPr>
              <w:t>240 m</w:t>
            </w:r>
          </w:p>
        </w:tc>
        <w:tc>
          <w:tcPr>
            <w:tcW w:w="768" w:type="pct"/>
          </w:tcPr>
          <w:p w:rsidR="007202B1" w:rsidRPr="009478C6" w:rsidRDefault="007202B1" w:rsidP="00AB1053">
            <w:pPr>
              <w:rPr>
                <w:rFonts w:ascii="Tahoma" w:hAnsi="Tahoma" w:cs="Tahoma"/>
                <w:color w:val="222222"/>
                <w:sz w:val="16"/>
                <w:szCs w:val="16"/>
                <w:shd w:val="clear" w:color="auto" w:fill="FFFFFF"/>
              </w:rPr>
            </w:pPr>
          </w:p>
        </w:tc>
      </w:tr>
    </w:tbl>
    <w:p w:rsidR="007E178D" w:rsidRPr="0047187D" w:rsidRDefault="007E178D" w:rsidP="00AB1053">
      <w:pPr>
        <w:rPr>
          <w:i/>
          <w:sz w:val="28"/>
          <w:szCs w:val="28"/>
        </w:rPr>
      </w:pPr>
    </w:p>
    <w:sectPr w:rsidR="007E178D" w:rsidRPr="0047187D" w:rsidSect="005831C0">
      <w:footerReference w:type="default" r:id="rId9"/>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237" w:rsidRDefault="001D5237" w:rsidP="008A183A">
      <w:pPr>
        <w:spacing w:line="240" w:lineRule="auto"/>
      </w:pPr>
      <w:r>
        <w:separator/>
      </w:r>
    </w:p>
    <w:p w:rsidR="001D5237" w:rsidRDefault="001D5237"/>
    <w:p w:rsidR="001D5237" w:rsidRDefault="001D5237" w:rsidP="005831C0"/>
  </w:endnote>
  <w:endnote w:type="continuationSeparator" w:id="1">
    <w:p w:rsidR="001D5237" w:rsidRDefault="001D5237" w:rsidP="008A183A">
      <w:pPr>
        <w:spacing w:line="240" w:lineRule="auto"/>
      </w:pPr>
      <w:r>
        <w:continuationSeparator/>
      </w:r>
    </w:p>
    <w:p w:rsidR="001D5237" w:rsidRDefault="001D5237"/>
    <w:p w:rsidR="001D5237" w:rsidRDefault="001D5237" w:rsidP="005831C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Erie_Lightp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romans.shx">
    <w:panose1 w:val="00000000000000000000"/>
    <w:charset w:val="EE"/>
    <w:family w:val="auto"/>
    <w:notTrueType/>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64608"/>
      <w:docPartObj>
        <w:docPartGallery w:val="Page Numbers (Bottom of Page)"/>
        <w:docPartUnique/>
      </w:docPartObj>
    </w:sdtPr>
    <w:sdtContent>
      <w:p w:rsidR="00926F29" w:rsidRDefault="00483B75">
        <w:pPr>
          <w:pStyle w:val="Stopka"/>
          <w:jc w:val="center"/>
        </w:pPr>
        <w:r>
          <w:rPr>
            <w:noProof/>
          </w:rPr>
          <w:fldChar w:fldCharType="begin"/>
        </w:r>
        <w:r w:rsidR="00926F29">
          <w:rPr>
            <w:noProof/>
          </w:rPr>
          <w:instrText>PAGE   \* MERGEFORMAT</w:instrText>
        </w:r>
        <w:r>
          <w:rPr>
            <w:noProof/>
          </w:rPr>
          <w:fldChar w:fldCharType="separate"/>
        </w:r>
        <w:r w:rsidR="00903BD5">
          <w:rPr>
            <w:noProof/>
          </w:rPr>
          <w:t>3</w:t>
        </w:r>
        <w:r>
          <w:rPr>
            <w:noProof/>
          </w:rPr>
          <w:fldChar w:fldCharType="end"/>
        </w:r>
      </w:p>
    </w:sdtContent>
  </w:sdt>
  <w:p w:rsidR="00926F29" w:rsidRDefault="00926F29">
    <w:pPr>
      <w:pStyle w:val="Stopka"/>
    </w:pPr>
  </w:p>
  <w:p w:rsidR="00926F29" w:rsidRDefault="00926F29"/>
  <w:p w:rsidR="00926F29" w:rsidRDefault="00926F29" w:rsidP="005831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237" w:rsidRDefault="001D5237" w:rsidP="008A183A">
      <w:pPr>
        <w:spacing w:line="240" w:lineRule="auto"/>
      </w:pPr>
      <w:r>
        <w:separator/>
      </w:r>
    </w:p>
    <w:p w:rsidR="001D5237" w:rsidRDefault="001D5237"/>
    <w:p w:rsidR="001D5237" w:rsidRDefault="001D5237" w:rsidP="005831C0"/>
  </w:footnote>
  <w:footnote w:type="continuationSeparator" w:id="1">
    <w:p w:rsidR="001D5237" w:rsidRDefault="001D5237" w:rsidP="008A183A">
      <w:pPr>
        <w:spacing w:line="240" w:lineRule="auto"/>
      </w:pPr>
      <w:r>
        <w:continuationSeparator/>
      </w:r>
    </w:p>
    <w:p w:rsidR="001D5237" w:rsidRDefault="001D5237"/>
    <w:p w:rsidR="001D5237" w:rsidRDefault="001D5237" w:rsidP="005831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5128"/>
    <w:multiLevelType w:val="hybridMultilevel"/>
    <w:tmpl w:val="457C2A9C"/>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7D096A"/>
    <w:multiLevelType w:val="hybridMultilevel"/>
    <w:tmpl w:val="9BF0AF1A"/>
    <w:lvl w:ilvl="0" w:tplc="3A984A22">
      <w:start w:val="1"/>
      <w:numFmt w:val="bullet"/>
      <w:lvlText w:val=""/>
      <w:lvlJc w:val="left"/>
      <w:pPr>
        <w:ind w:left="720" w:hanging="360"/>
      </w:pPr>
      <w:rPr>
        <w:rFonts w:ascii="Symbol" w:hAnsi="Symbol" w:hint="default"/>
      </w:rPr>
    </w:lvl>
    <w:lvl w:ilvl="1" w:tplc="7878EF8E">
      <w:numFmt w:val="bullet"/>
      <w:lvlText w:val="·"/>
      <w:lvlJc w:val="left"/>
      <w:pPr>
        <w:ind w:left="1440" w:hanging="360"/>
      </w:pPr>
      <w:rPr>
        <w:rFonts w:ascii="Arial Narrow" w:eastAsiaTheme="minorHAnsi" w:hAnsi="Arial Narrow" w:cs="Symbol"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780FC1"/>
    <w:multiLevelType w:val="hybridMultilevel"/>
    <w:tmpl w:val="0090131C"/>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9A092D"/>
    <w:multiLevelType w:val="hybridMultilevel"/>
    <w:tmpl w:val="1110F7A2"/>
    <w:lvl w:ilvl="0" w:tplc="1DFC9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3835FA"/>
    <w:multiLevelType w:val="multilevel"/>
    <w:tmpl w:val="3498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865BA4"/>
    <w:multiLevelType w:val="hybridMultilevel"/>
    <w:tmpl w:val="881E4848"/>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2D0161"/>
    <w:multiLevelType w:val="hybridMultilevel"/>
    <w:tmpl w:val="1CD0ACEE"/>
    <w:lvl w:ilvl="0" w:tplc="3A984A2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4475DD"/>
    <w:multiLevelType w:val="hybridMultilevel"/>
    <w:tmpl w:val="18025B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C7026"/>
    <w:multiLevelType w:val="hybridMultilevel"/>
    <w:tmpl w:val="4A421F56"/>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BE4422"/>
    <w:multiLevelType w:val="hybridMultilevel"/>
    <w:tmpl w:val="49C8CCD6"/>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7B959D2"/>
    <w:multiLevelType w:val="hybridMultilevel"/>
    <w:tmpl w:val="4AD41B4A"/>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A93363C"/>
    <w:multiLevelType w:val="hybridMultilevel"/>
    <w:tmpl w:val="64C2F35C"/>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C5C3B92"/>
    <w:multiLevelType w:val="hybridMultilevel"/>
    <w:tmpl w:val="06AEC34A"/>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D7B3E51"/>
    <w:multiLevelType w:val="hybridMultilevel"/>
    <w:tmpl w:val="1B6EBF4A"/>
    <w:lvl w:ilvl="0" w:tplc="3A984A2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4907AB"/>
    <w:multiLevelType w:val="hybridMultilevel"/>
    <w:tmpl w:val="95321E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EBA7715"/>
    <w:multiLevelType w:val="hybridMultilevel"/>
    <w:tmpl w:val="7ABE359E"/>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982A0B"/>
    <w:multiLevelType w:val="hybridMultilevel"/>
    <w:tmpl w:val="29CE3D4A"/>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B0405FA"/>
    <w:multiLevelType w:val="hybridMultilevel"/>
    <w:tmpl w:val="6AF807A2"/>
    <w:lvl w:ilvl="0" w:tplc="112AD200">
      <w:start w:val="1"/>
      <w:numFmt w:val="bullet"/>
      <w:lvlText w:val="-"/>
      <w:lvlJc w:val="left"/>
      <w:pPr>
        <w:ind w:left="1146" w:hanging="360"/>
      </w:pPr>
      <w:rPr>
        <w:rFonts w:ascii="Arial Narrow" w:hAnsi="Arial Narrow" w:hint="default"/>
        <w:b w:val="0"/>
        <w:i w:val="0"/>
        <w:sz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2F440D0C"/>
    <w:multiLevelType w:val="hybridMultilevel"/>
    <w:tmpl w:val="55F62FE0"/>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F3E6AF7"/>
    <w:multiLevelType w:val="hybridMultilevel"/>
    <w:tmpl w:val="C9545978"/>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7F51E3"/>
    <w:multiLevelType w:val="hybridMultilevel"/>
    <w:tmpl w:val="8D1CE51A"/>
    <w:lvl w:ilvl="0" w:tplc="3A984A22">
      <w:start w:val="1"/>
      <w:numFmt w:val="bullet"/>
      <w:lvlText w:val=""/>
      <w:lvlJc w:val="left"/>
      <w:pPr>
        <w:ind w:left="1146" w:hanging="360"/>
      </w:pPr>
      <w:rPr>
        <w:rFonts w:ascii="Symbol" w:hAnsi="Symbol" w:hint="default"/>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494B0E6C"/>
    <w:multiLevelType w:val="hybridMultilevel"/>
    <w:tmpl w:val="153C0B9A"/>
    <w:lvl w:ilvl="0" w:tplc="3A984A22">
      <w:start w:val="1"/>
      <w:numFmt w:val="bullet"/>
      <w:lvlText w:val=""/>
      <w:lvlJc w:val="left"/>
      <w:pPr>
        <w:ind w:left="1146" w:hanging="360"/>
      </w:pPr>
      <w:rPr>
        <w:rFonts w:ascii="Symbol" w:hAnsi="Symbol" w:hint="default"/>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4EC52E5F"/>
    <w:multiLevelType w:val="hybridMultilevel"/>
    <w:tmpl w:val="38940DE2"/>
    <w:lvl w:ilvl="0" w:tplc="3A984A22">
      <w:start w:val="1"/>
      <w:numFmt w:val="bullet"/>
      <w:lvlText w:val=""/>
      <w:lvlJc w:val="left"/>
      <w:pPr>
        <w:ind w:left="1146" w:hanging="360"/>
      </w:pPr>
      <w:rPr>
        <w:rFonts w:ascii="Symbol" w:hAnsi="Symbol" w:hint="default"/>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51267856"/>
    <w:multiLevelType w:val="hybridMultilevel"/>
    <w:tmpl w:val="9F4A6EEA"/>
    <w:lvl w:ilvl="0" w:tplc="3A984A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593A3E4A"/>
    <w:multiLevelType w:val="hybridMultilevel"/>
    <w:tmpl w:val="CD5E1228"/>
    <w:lvl w:ilvl="0" w:tplc="3A984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59986AAB"/>
    <w:multiLevelType w:val="hybridMultilevel"/>
    <w:tmpl w:val="7A14BD20"/>
    <w:lvl w:ilvl="0" w:tplc="AC722E06">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C4A5788"/>
    <w:multiLevelType w:val="hybridMultilevel"/>
    <w:tmpl w:val="AE6E306E"/>
    <w:lvl w:ilvl="0" w:tplc="AC722E06">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913A5A"/>
    <w:multiLevelType w:val="hybridMultilevel"/>
    <w:tmpl w:val="802A3944"/>
    <w:lvl w:ilvl="0" w:tplc="3A984A22">
      <w:start w:val="1"/>
      <w:numFmt w:val="bullet"/>
      <w:lvlText w:val=""/>
      <w:lvlJc w:val="left"/>
      <w:pPr>
        <w:ind w:left="1146" w:hanging="360"/>
      </w:pPr>
      <w:rPr>
        <w:rFonts w:ascii="Symbol" w:hAnsi="Symbol" w:hint="default"/>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65D73D8D"/>
    <w:multiLevelType w:val="hybridMultilevel"/>
    <w:tmpl w:val="04EC5496"/>
    <w:lvl w:ilvl="0" w:tplc="3A984A2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0F07B1"/>
    <w:multiLevelType w:val="hybridMultilevel"/>
    <w:tmpl w:val="10D892A0"/>
    <w:lvl w:ilvl="0" w:tplc="1DFC9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A1A2D5B"/>
    <w:multiLevelType w:val="hybridMultilevel"/>
    <w:tmpl w:val="5120AE8C"/>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CA07464"/>
    <w:multiLevelType w:val="hybridMultilevel"/>
    <w:tmpl w:val="01B00240"/>
    <w:lvl w:ilvl="0" w:tplc="1DFC9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FE86AC8"/>
    <w:multiLevelType w:val="hybridMultilevel"/>
    <w:tmpl w:val="24EA97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0C21B76"/>
    <w:multiLevelType w:val="hybridMultilevel"/>
    <w:tmpl w:val="FB661928"/>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1DF3B84"/>
    <w:multiLevelType w:val="hybridMultilevel"/>
    <w:tmpl w:val="2ED60D94"/>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BD7F01"/>
    <w:multiLevelType w:val="hybridMultilevel"/>
    <w:tmpl w:val="5ECE8D9C"/>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54E0B62"/>
    <w:multiLevelType w:val="hybridMultilevel"/>
    <w:tmpl w:val="B52E39C2"/>
    <w:lvl w:ilvl="0" w:tplc="3A984A22">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57F67CA"/>
    <w:multiLevelType w:val="hybridMultilevel"/>
    <w:tmpl w:val="561E10A0"/>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81B078F"/>
    <w:multiLevelType w:val="multilevel"/>
    <w:tmpl w:val="454AB0E2"/>
    <w:lvl w:ilvl="0">
      <w:start w:val="1"/>
      <w:numFmt w:val="bullet"/>
      <w:lvlText w:val=""/>
      <w:lvlJc w:val="left"/>
      <w:pPr>
        <w:tabs>
          <w:tab w:val="num" w:pos="0"/>
        </w:tabs>
        <w:ind w:left="1004" w:hanging="360"/>
      </w:pPr>
      <w:rPr>
        <w:rFonts w:ascii="Symbol" w:hAnsi="Symbol" w:hint="default"/>
      </w:rPr>
    </w:lvl>
    <w:lvl w:ilvl="1">
      <w:start w:val="1"/>
      <w:numFmt w:val="bullet"/>
      <w:lvlText w:val="o"/>
      <w:lvlJc w:val="left"/>
      <w:pPr>
        <w:tabs>
          <w:tab w:val="num" w:pos="0"/>
        </w:tabs>
        <w:ind w:left="1724" w:hanging="360"/>
      </w:pPr>
      <w:rPr>
        <w:rFonts w:ascii="Courier New" w:hAnsi="Courier New" w:cs="Arial"/>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Arial"/>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Arial"/>
      </w:rPr>
    </w:lvl>
    <w:lvl w:ilvl="8">
      <w:start w:val="1"/>
      <w:numFmt w:val="bullet"/>
      <w:lvlText w:val=""/>
      <w:lvlJc w:val="left"/>
      <w:pPr>
        <w:tabs>
          <w:tab w:val="num" w:pos="0"/>
        </w:tabs>
        <w:ind w:left="6764" w:hanging="360"/>
      </w:pPr>
      <w:rPr>
        <w:rFonts w:ascii="Wingdings" w:hAnsi="Wingdings"/>
      </w:rPr>
    </w:lvl>
  </w:abstractNum>
  <w:abstractNum w:abstractNumId="39">
    <w:nsid w:val="78C732F5"/>
    <w:multiLevelType w:val="hybridMultilevel"/>
    <w:tmpl w:val="37EA7088"/>
    <w:lvl w:ilvl="0" w:tplc="AC722E06">
      <w:numFmt w:val="bullet"/>
      <w:lvlText w:val="-"/>
      <w:lvlJc w:val="left"/>
      <w:pPr>
        <w:ind w:left="1146" w:hanging="360"/>
      </w:pPr>
      <w:rPr>
        <w:rFonts w:ascii="Times New Roman" w:hAnsi="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nsid w:val="7E6B12EB"/>
    <w:multiLevelType w:val="hybridMultilevel"/>
    <w:tmpl w:val="F0802782"/>
    <w:lvl w:ilvl="0" w:tplc="3A984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11"/>
  </w:num>
  <w:num w:numId="4">
    <w:abstractNumId w:val="35"/>
  </w:num>
  <w:num w:numId="5">
    <w:abstractNumId w:val="6"/>
  </w:num>
  <w:num w:numId="6">
    <w:abstractNumId w:val="4"/>
  </w:num>
  <w:num w:numId="7">
    <w:abstractNumId w:val="8"/>
  </w:num>
  <w:num w:numId="8">
    <w:abstractNumId w:val="36"/>
  </w:num>
  <w:num w:numId="9">
    <w:abstractNumId w:val="33"/>
  </w:num>
  <w:num w:numId="10">
    <w:abstractNumId w:val="0"/>
  </w:num>
  <w:num w:numId="11">
    <w:abstractNumId w:val="40"/>
  </w:num>
  <w:num w:numId="12">
    <w:abstractNumId w:val="30"/>
  </w:num>
  <w:num w:numId="13">
    <w:abstractNumId w:val="28"/>
  </w:num>
  <w:num w:numId="14">
    <w:abstractNumId w:val="16"/>
  </w:num>
  <w:num w:numId="15">
    <w:abstractNumId w:val="2"/>
  </w:num>
  <w:num w:numId="16">
    <w:abstractNumId w:val="25"/>
  </w:num>
  <w:num w:numId="17">
    <w:abstractNumId w:val="18"/>
  </w:num>
  <w:num w:numId="18">
    <w:abstractNumId w:val="37"/>
  </w:num>
  <w:num w:numId="19">
    <w:abstractNumId w:val="26"/>
  </w:num>
  <w:num w:numId="20">
    <w:abstractNumId w:val="9"/>
  </w:num>
  <w:num w:numId="21">
    <w:abstractNumId w:val="39"/>
  </w:num>
  <w:num w:numId="22">
    <w:abstractNumId w:val="19"/>
  </w:num>
  <w:num w:numId="23">
    <w:abstractNumId w:val="24"/>
  </w:num>
  <w:num w:numId="24">
    <w:abstractNumId w:val="23"/>
  </w:num>
  <w:num w:numId="25">
    <w:abstractNumId w:val="5"/>
  </w:num>
  <w:num w:numId="26">
    <w:abstractNumId w:val="32"/>
  </w:num>
  <w:num w:numId="27">
    <w:abstractNumId w:val="7"/>
  </w:num>
  <w:num w:numId="28">
    <w:abstractNumId w:val="10"/>
  </w:num>
  <w:num w:numId="29">
    <w:abstractNumId w:val="15"/>
  </w:num>
  <w:num w:numId="30">
    <w:abstractNumId w:val="1"/>
  </w:num>
  <w:num w:numId="31">
    <w:abstractNumId w:val="12"/>
  </w:num>
  <w:num w:numId="32">
    <w:abstractNumId w:val="22"/>
  </w:num>
  <w:num w:numId="33">
    <w:abstractNumId w:val="27"/>
  </w:num>
  <w:num w:numId="34">
    <w:abstractNumId w:val="21"/>
  </w:num>
  <w:num w:numId="35">
    <w:abstractNumId w:val="34"/>
  </w:num>
  <w:num w:numId="36">
    <w:abstractNumId w:val="20"/>
  </w:num>
  <w:num w:numId="37">
    <w:abstractNumId w:val="17"/>
  </w:num>
  <w:num w:numId="38">
    <w:abstractNumId w:val="3"/>
  </w:num>
  <w:num w:numId="39">
    <w:abstractNumId w:val="29"/>
  </w:num>
  <w:num w:numId="40">
    <w:abstractNumId w:val="31"/>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22"/>
  </w:hdrShapeDefaults>
  <w:footnotePr>
    <w:footnote w:id="0"/>
    <w:footnote w:id="1"/>
  </w:footnotePr>
  <w:endnotePr>
    <w:endnote w:id="0"/>
    <w:endnote w:id="1"/>
  </w:endnotePr>
  <w:compat/>
  <w:rsids>
    <w:rsidRoot w:val="00551C72"/>
    <w:rsid w:val="00015CA7"/>
    <w:rsid w:val="0001750E"/>
    <w:rsid w:val="00022056"/>
    <w:rsid w:val="00033636"/>
    <w:rsid w:val="00033F4D"/>
    <w:rsid w:val="00036604"/>
    <w:rsid w:val="000366DC"/>
    <w:rsid w:val="00036F65"/>
    <w:rsid w:val="00037DF9"/>
    <w:rsid w:val="000818A1"/>
    <w:rsid w:val="00087219"/>
    <w:rsid w:val="00087D25"/>
    <w:rsid w:val="000A2EE4"/>
    <w:rsid w:val="000B51C9"/>
    <w:rsid w:val="000D699E"/>
    <w:rsid w:val="000E2099"/>
    <w:rsid w:val="000E68FB"/>
    <w:rsid w:val="000F3FDB"/>
    <w:rsid w:val="00103382"/>
    <w:rsid w:val="0010474C"/>
    <w:rsid w:val="00104A7C"/>
    <w:rsid w:val="00111EB0"/>
    <w:rsid w:val="0011333E"/>
    <w:rsid w:val="0012339C"/>
    <w:rsid w:val="0013190E"/>
    <w:rsid w:val="001426CD"/>
    <w:rsid w:val="00142C93"/>
    <w:rsid w:val="001472FD"/>
    <w:rsid w:val="0015264F"/>
    <w:rsid w:val="00155DE4"/>
    <w:rsid w:val="00172A52"/>
    <w:rsid w:val="00172F2F"/>
    <w:rsid w:val="00176B37"/>
    <w:rsid w:val="001852CC"/>
    <w:rsid w:val="00197187"/>
    <w:rsid w:val="001A03E8"/>
    <w:rsid w:val="001A45B5"/>
    <w:rsid w:val="001B3664"/>
    <w:rsid w:val="001D5237"/>
    <w:rsid w:val="001E3D05"/>
    <w:rsid w:val="001E5BB6"/>
    <w:rsid w:val="0020161C"/>
    <w:rsid w:val="0021779D"/>
    <w:rsid w:val="00223263"/>
    <w:rsid w:val="002346D1"/>
    <w:rsid w:val="0023567D"/>
    <w:rsid w:val="00242715"/>
    <w:rsid w:val="00260BAD"/>
    <w:rsid w:val="00266145"/>
    <w:rsid w:val="00275381"/>
    <w:rsid w:val="00291F9A"/>
    <w:rsid w:val="002A4D4C"/>
    <w:rsid w:val="002A543C"/>
    <w:rsid w:val="002C2140"/>
    <w:rsid w:val="002C2AE2"/>
    <w:rsid w:val="002C55FA"/>
    <w:rsid w:val="002D5D7E"/>
    <w:rsid w:val="002D6B95"/>
    <w:rsid w:val="002F7E1F"/>
    <w:rsid w:val="00304A09"/>
    <w:rsid w:val="00316544"/>
    <w:rsid w:val="00325E34"/>
    <w:rsid w:val="00326FAF"/>
    <w:rsid w:val="003315CD"/>
    <w:rsid w:val="00332123"/>
    <w:rsid w:val="00333800"/>
    <w:rsid w:val="0036419A"/>
    <w:rsid w:val="00364D2D"/>
    <w:rsid w:val="003666C5"/>
    <w:rsid w:val="003707D3"/>
    <w:rsid w:val="003B1B09"/>
    <w:rsid w:val="003B2EDE"/>
    <w:rsid w:val="003C18AE"/>
    <w:rsid w:val="003C694F"/>
    <w:rsid w:val="003D1C14"/>
    <w:rsid w:val="003D5F5D"/>
    <w:rsid w:val="003E2ED6"/>
    <w:rsid w:val="003F562D"/>
    <w:rsid w:val="00407021"/>
    <w:rsid w:val="00407142"/>
    <w:rsid w:val="0041549F"/>
    <w:rsid w:val="00415943"/>
    <w:rsid w:val="00420FFA"/>
    <w:rsid w:val="00425FCB"/>
    <w:rsid w:val="00434F56"/>
    <w:rsid w:val="00442FEF"/>
    <w:rsid w:val="00445D84"/>
    <w:rsid w:val="00463BE7"/>
    <w:rsid w:val="00464154"/>
    <w:rsid w:val="00464DBD"/>
    <w:rsid w:val="00465783"/>
    <w:rsid w:val="0047187D"/>
    <w:rsid w:val="00483B75"/>
    <w:rsid w:val="00495446"/>
    <w:rsid w:val="0049612F"/>
    <w:rsid w:val="0049712D"/>
    <w:rsid w:val="004A3331"/>
    <w:rsid w:val="004B12FD"/>
    <w:rsid w:val="004B3E95"/>
    <w:rsid w:val="004B6066"/>
    <w:rsid w:val="004C0382"/>
    <w:rsid w:val="004C6BE7"/>
    <w:rsid w:val="004C7769"/>
    <w:rsid w:val="004D4015"/>
    <w:rsid w:val="004E5B93"/>
    <w:rsid w:val="004F130B"/>
    <w:rsid w:val="005033C8"/>
    <w:rsid w:val="005103B3"/>
    <w:rsid w:val="005114B4"/>
    <w:rsid w:val="00520067"/>
    <w:rsid w:val="005233BF"/>
    <w:rsid w:val="00523F24"/>
    <w:rsid w:val="00526189"/>
    <w:rsid w:val="00531822"/>
    <w:rsid w:val="00551209"/>
    <w:rsid w:val="00551C72"/>
    <w:rsid w:val="00575539"/>
    <w:rsid w:val="0057710C"/>
    <w:rsid w:val="00581360"/>
    <w:rsid w:val="005831C0"/>
    <w:rsid w:val="005B17F6"/>
    <w:rsid w:val="005B676D"/>
    <w:rsid w:val="005C0D5E"/>
    <w:rsid w:val="005C258B"/>
    <w:rsid w:val="005D70BD"/>
    <w:rsid w:val="005F2F78"/>
    <w:rsid w:val="00605D69"/>
    <w:rsid w:val="00610623"/>
    <w:rsid w:val="00621C85"/>
    <w:rsid w:val="00644CD4"/>
    <w:rsid w:val="00653C25"/>
    <w:rsid w:val="0066027D"/>
    <w:rsid w:val="00671867"/>
    <w:rsid w:val="00683CE5"/>
    <w:rsid w:val="00684CDA"/>
    <w:rsid w:val="00693523"/>
    <w:rsid w:val="006961CE"/>
    <w:rsid w:val="006A148B"/>
    <w:rsid w:val="006A772D"/>
    <w:rsid w:val="006B16B0"/>
    <w:rsid w:val="006B1C2B"/>
    <w:rsid w:val="006B2426"/>
    <w:rsid w:val="006B3676"/>
    <w:rsid w:val="006C4054"/>
    <w:rsid w:val="006E2665"/>
    <w:rsid w:val="006E26AB"/>
    <w:rsid w:val="006E6B96"/>
    <w:rsid w:val="006F2E3F"/>
    <w:rsid w:val="006F2F91"/>
    <w:rsid w:val="00711CBA"/>
    <w:rsid w:val="007202B1"/>
    <w:rsid w:val="00742663"/>
    <w:rsid w:val="00751468"/>
    <w:rsid w:val="00755D31"/>
    <w:rsid w:val="00781FE9"/>
    <w:rsid w:val="0078207E"/>
    <w:rsid w:val="007A029B"/>
    <w:rsid w:val="007B06E8"/>
    <w:rsid w:val="007C58F1"/>
    <w:rsid w:val="007E178D"/>
    <w:rsid w:val="007F31BF"/>
    <w:rsid w:val="0080550A"/>
    <w:rsid w:val="00807697"/>
    <w:rsid w:val="008139AC"/>
    <w:rsid w:val="00831DDD"/>
    <w:rsid w:val="00842ED4"/>
    <w:rsid w:val="0085170F"/>
    <w:rsid w:val="00856F0C"/>
    <w:rsid w:val="0085727A"/>
    <w:rsid w:val="00862231"/>
    <w:rsid w:val="008727C9"/>
    <w:rsid w:val="00873B1A"/>
    <w:rsid w:val="0088039B"/>
    <w:rsid w:val="00882216"/>
    <w:rsid w:val="00893813"/>
    <w:rsid w:val="008A183A"/>
    <w:rsid w:val="008A4816"/>
    <w:rsid w:val="008C0136"/>
    <w:rsid w:val="008C1377"/>
    <w:rsid w:val="008C70CC"/>
    <w:rsid w:val="008D0CB9"/>
    <w:rsid w:val="008D2424"/>
    <w:rsid w:val="008F15E4"/>
    <w:rsid w:val="008F22DE"/>
    <w:rsid w:val="008F2BE5"/>
    <w:rsid w:val="00901467"/>
    <w:rsid w:val="00903107"/>
    <w:rsid w:val="00903BD5"/>
    <w:rsid w:val="009072D1"/>
    <w:rsid w:val="009115EF"/>
    <w:rsid w:val="00917348"/>
    <w:rsid w:val="00920C4F"/>
    <w:rsid w:val="00926F29"/>
    <w:rsid w:val="00931DA8"/>
    <w:rsid w:val="0093399D"/>
    <w:rsid w:val="009353F4"/>
    <w:rsid w:val="00941B35"/>
    <w:rsid w:val="00942A42"/>
    <w:rsid w:val="009438D8"/>
    <w:rsid w:val="0094670F"/>
    <w:rsid w:val="009478C6"/>
    <w:rsid w:val="00951C7A"/>
    <w:rsid w:val="0095253F"/>
    <w:rsid w:val="00964F67"/>
    <w:rsid w:val="00965689"/>
    <w:rsid w:val="009663A4"/>
    <w:rsid w:val="00971042"/>
    <w:rsid w:val="0097238D"/>
    <w:rsid w:val="00980FD2"/>
    <w:rsid w:val="00984B0B"/>
    <w:rsid w:val="00986447"/>
    <w:rsid w:val="00990042"/>
    <w:rsid w:val="009916C5"/>
    <w:rsid w:val="009B497B"/>
    <w:rsid w:val="009D122D"/>
    <w:rsid w:val="009D1B67"/>
    <w:rsid w:val="009F404A"/>
    <w:rsid w:val="009F5E3C"/>
    <w:rsid w:val="00A01B83"/>
    <w:rsid w:val="00A13123"/>
    <w:rsid w:val="00A24B57"/>
    <w:rsid w:val="00A32F98"/>
    <w:rsid w:val="00A43B18"/>
    <w:rsid w:val="00A53B90"/>
    <w:rsid w:val="00A54ED3"/>
    <w:rsid w:val="00A653B6"/>
    <w:rsid w:val="00A85CFB"/>
    <w:rsid w:val="00A862CF"/>
    <w:rsid w:val="00A930A5"/>
    <w:rsid w:val="00A97EDB"/>
    <w:rsid w:val="00AA2E56"/>
    <w:rsid w:val="00AB1053"/>
    <w:rsid w:val="00AC5F18"/>
    <w:rsid w:val="00AD0702"/>
    <w:rsid w:val="00AD2213"/>
    <w:rsid w:val="00AF2FDC"/>
    <w:rsid w:val="00AF63F4"/>
    <w:rsid w:val="00AF7BBF"/>
    <w:rsid w:val="00B139C1"/>
    <w:rsid w:val="00B37620"/>
    <w:rsid w:val="00B4266F"/>
    <w:rsid w:val="00B457D2"/>
    <w:rsid w:val="00B4600A"/>
    <w:rsid w:val="00B502AD"/>
    <w:rsid w:val="00B51A63"/>
    <w:rsid w:val="00B55369"/>
    <w:rsid w:val="00B611CD"/>
    <w:rsid w:val="00B7135F"/>
    <w:rsid w:val="00B72558"/>
    <w:rsid w:val="00B82DEC"/>
    <w:rsid w:val="00B91F4A"/>
    <w:rsid w:val="00BA7F97"/>
    <w:rsid w:val="00BE4B3A"/>
    <w:rsid w:val="00BF3D3C"/>
    <w:rsid w:val="00C00B85"/>
    <w:rsid w:val="00C063C5"/>
    <w:rsid w:val="00C110B9"/>
    <w:rsid w:val="00C11966"/>
    <w:rsid w:val="00C159C7"/>
    <w:rsid w:val="00C2293A"/>
    <w:rsid w:val="00C24774"/>
    <w:rsid w:val="00C31205"/>
    <w:rsid w:val="00C36C25"/>
    <w:rsid w:val="00C554D2"/>
    <w:rsid w:val="00C632E9"/>
    <w:rsid w:val="00C70BF4"/>
    <w:rsid w:val="00C71890"/>
    <w:rsid w:val="00C77344"/>
    <w:rsid w:val="00C8170D"/>
    <w:rsid w:val="00C83698"/>
    <w:rsid w:val="00CA60A4"/>
    <w:rsid w:val="00CB5FB0"/>
    <w:rsid w:val="00CB7D71"/>
    <w:rsid w:val="00CC2F9A"/>
    <w:rsid w:val="00CC2FBF"/>
    <w:rsid w:val="00CD1DE4"/>
    <w:rsid w:val="00CE69E6"/>
    <w:rsid w:val="00CF5560"/>
    <w:rsid w:val="00D06074"/>
    <w:rsid w:val="00D068E4"/>
    <w:rsid w:val="00D166A8"/>
    <w:rsid w:val="00D17138"/>
    <w:rsid w:val="00D377ED"/>
    <w:rsid w:val="00D563C9"/>
    <w:rsid w:val="00D800A9"/>
    <w:rsid w:val="00D82CBC"/>
    <w:rsid w:val="00D90343"/>
    <w:rsid w:val="00D96CA2"/>
    <w:rsid w:val="00DA4030"/>
    <w:rsid w:val="00DA5C9C"/>
    <w:rsid w:val="00DC0120"/>
    <w:rsid w:val="00DC3555"/>
    <w:rsid w:val="00DF456B"/>
    <w:rsid w:val="00E1111F"/>
    <w:rsid w:val="00E12252"/>
    <w:rsid w:val="00E138E2"/>
    <w:rsid w:val="00E229A8"/>
    <w:rsid w:val="00E355DF"/>
    <w:rsid w:val="00E44630"/>
    <w:rsid w:val="00E47747"/>
    <w:rsid w:val="00E60C62"/>
    <w:rsid w:val="00E63867"/>
    <w:rsid w:val="00E73782"/>
    <w:rsid w:val="00E80641"/>
    <w:rsid w:val="00E912FF"/>
    <w:rsid w:val="00E959E2"/>
    <w:rsid w:val="00EA2828"/>
    <w:rsid w:val="00EB1A92"/>
    <w:rsid w:val="00EB37BB"/>
    <w:rsid w:val="00EC5061"/>
    <w:rsid w:val="00ED1875"/>
    <w:rsid w:val="00ED5D70"/>
    <w:rsid w:val="00EE64AB"/>
    <w:rsid w:val="00EE65E1"/>
    <w:rsid w:val="00EE6F25"/>
    <w:rsid w:val="00EF10B5"/>
    <w:rsid w:val="00EF2853"/>
    <w:rsid w:val="00F01692"/>
    <w:rsid w:val="00F17D2E"/>
    <w:rsid w:val="00F27330"/>
    <w:rsid w:val="00F4091B"/>
    <w:rsid w:val="00F47AA2"/>
    <w:rsid w:val="00F60B24"/>
    <w:rsid w:val="00F65C84"/>
    <w:rsid w:val="00F745E0"/>
    <w:rsid w:val="00F774E9"/>
    <w:rsid w:val="00F77CB0"/>
    <w:rsid w:val="00FC6B4A"/>
    <w:rsid w:val="00FE1762"/>
    <w:rsid w:val="00FE7A93"/>
    <w:rsid w:val="00FF62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1C72"/>
    <w:pPr>
      <w:spacing w:after="0" w:line="276" w:lineRule="auto"/>
    </w:pPr>
    <w:rPr>
      <w:rFonts w:ascii="Arial Narrow" w:hAnsi="Arial Narrow"/>
    </w:rPr>
  </w:style>
  <w:style w:type="paragraph" w:styleId="Nagwek1">
    <w:name w:val="heading 1"/>
    <w:basedOn w:val="Normalny"/>
    <w:next w:val="Normalny"/>
    <w:link w:val="Nagwek1Znak"/>
    <w:uiPriority w:val="9"/>
    <w:qFormat/>
    <w:rsid w:val="00551C72"/>
    <w:pPr>
      <w:spacing w:before="240" w:after="240" w:line="288" w:lineRule="auto"/>
      <w:contextualSpacing/>
      <w:outlineLvl w:val="0"/>
    </w:pPr>
    <w:rPr>
      <w:rFonts w:eastAsia="Times New Roman" w:cs="Times New Roman"/>
      <w:b/>
      <w:bCs/>
      <w:sz w:val="28"/>
      <w:szCs w:val="28"/>
      <w:lang w:val="en-US" w:bidi="en-US"/>
    </w:rPr>
  </w:style>
  <w:style w:type="paragraph" w:styleId="Nagwek2">
    <w:name w:val="heading 2"/>
    <w:basedOn w:val="Normalny"/>
    <w:next w:val="Normalny"/>
    <w:link w:val="Nagwek2Znak"/>
    <w:uiPriority w:val="9"/>
    <w:unhideWhenUsed/>
    <w:qFormat/>
    <w:rsid w:val="00551C72"/>
    <w:pPr>
      <w:spacing w:before="240" w:after="120" w:line="288" w:lineRule="auto"/>
      <w:outlineLvl w:val="1"/>
    </w:pPr>
    <w:rPr>
      <w:rFonts w:eastAsia="Times New Roman" w:cs="Times New Roman"/>
      <w:b/>
      <w:bCs/>
      <w:sz w:val="24"/>
      <w:szCs w:val="26"/>
      <w:lang w:val="en-US" w:bidi="en-US"/>
    </w:rPr>
  </w:style>
  <w:style w:type="paragraph" w:styleId="Nagwek3">
    <w:name w:val="heading 3"/>
    <w:basedOn w:val="Normalny"/>
    <w:next w:val="Normalny"/>
    <w:link w:val="Nagwek3Znak"/>
    <w:uiPriority w:val="9"/>
    <w:unhideWhenUsed/>
    <w:qFormat/>
    <w:rsid w:val="003D5F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1C72"/>
    <w:rPr>
      <w:rFonts w:ascii="Arial Narrow" w:eastAsia="Times New Roman" w:hAnsi="Arial Narrow" w:cs="Times New Roman"/>
      <w:b/>
      <w:bCs/>
      <w:sz w:val="28"/>
      <w:szCs w:val="28"/>
      <w:lang w:val="en-US" w:bidi="en-US"/>
    </w:rPr>
  </w:style>
  <w:style w:type="character" w:customStyle="1" w:styleId="Nagwek2Znak">
    <w:name w:val="Nagłówek 2 Znak"/>
    <w:basedOn w:val="Domylnaczcionkaakapitu"/>
    <w:link w:val="Nagwek2"/>
    <w:uiPriority w:val="9"/>
    <w:rsid w:val="00551C72"/>
    <w:rPr>
      <w:rFonts w:ascii="Arial Narrow" w:eastAsia="Times New Roman" w:hAnsi="Arial Narrow" w:cs="Times New Roman"/>
      <w:b/>
      <w:bCs/>
      <w:sz w:val="24"/>
      <w:szCs w:val="26"/>
      <w:lang w:val="en-US" w:bidi="en-US"/>
    </w:rPr>
  </w:style>
  <w:style w:type="paragraph" w:styleId="Akapitzlist">
    <w:name w:val="List Paragraph"/>
    <w:basedOn w:val="Normalny"/>
    <w:uiPriority w:val="34"/>
    <w:qFormat/>
    <w:rsid w:val="00551C72"/>
    <w:pPr>
      <w:ind w:left="720"/>
      <w:contextualSpacing/>
    </w:pPr>
  </w:style>
  <w:style w:type="paragraph" w:styleId="Nagwekspisutreci">
    <w:name w:val="TOC Heading"/>
    <w:basedOn w:val="Nagwek1"/>
    <w:next w:val="Normalny"/>
    <w:uiPriority w:val="39"/>
    <w:semiHidden/>
    <w:unhideWhenUsed/>
    <w:qFormat/>
    <w:rsid w:val="00015CA7"/>
    <w:pPr>
      <w:keepNext/>
      <w:spacing w:after="60" w:line="240" w:lineRule="auto"/>
      <w:contextualSpacing w:val="0"/>
      <w:outlineLvl w:val="9"/>
    </w:pPr>
    <w:rPr>
      <w:rFonts w:eastAsiaTheme="majorEastAsia" w:cstheme="majorBidi"/>
      <w:kern w:val="32"/>
      <w:sz w:val="32"/>
      <w:szCs w:val="32"/>
    </w:rPr>
  </w:style>
  <w:style w:type="paragraph" w:styleId="Spistreci1">
    <w:name w:val="toc 1"/>
    <w:basedOn w:val="Normalny"/>
    <w:next w:val="Normalny"/>
    <w:autoRedefine/>
    <w:uiPriority w:val="39"/>
    <w:unhideWhenUsed/>
    <w:rsid w:val="00015CA7"/>
    <w:pPr>
      <w:spacing w:after="100" w:line="240" w:lineRule="auto"/>
    </w:pPr>
    <w:rPr>
      <w:rFonts w:eastAsiaTheme="minorEastAsia" w:cs="Times New Roman"/>
      <w:sz w:val="24"/>
      <w:szCs w:val="24"/>
      <w:lang w:val="en-US" w:bidi="en-US"/>
    </w:rPr>
  </w:style>
  <w:style w:type="paragraph" w:styleId="Spistreci2">
    <w:name w:val="toc 2"/>
    <w:basedOn w:val="Normalny"/>
    <w:next w:val="Normalny"/>
    <w:autoRedefine/>
    <w:uiPriority w:val="39"/>
    <w:unhideWhenUsed/>
    <w:rsid w:val="00015CA7"/>
    <w:pPr>
      <w:spacing w:after="100" w:line="240" w:lineRule="auto"/>
      <w:ind w:left="240"/>
    </w:pPr>
    <w:rPr>
      <w:rFonts w:eastAsiaTheme="minorEastAsia" w:cs="Times New Roman"/>
      <w:sz w:val="24"/>
      <w:szCs w:val="24"/>
      <w:lang w:val="en-US" w:bidi="en-US"/>
    </w:rPr>
  </w:style>
  <w:style w:type="character" w:styleId="Hipercze">
    <w:name w:val="Hyperlink"/>
    <w:basedOn w:val="Domylnaczcionkaakapitu"/>
    <w:uiPriority w:val="99"/>
    <w:unhideWhenUsed/>
    <w:rsid w:val="00015CA7"/>
    <w:rPr>
      <w:color w:val="0563C1" w:themeColor="hyperlink"/>
      <w:u w:val="single"/>
    </w:rPr>
  </w:style>
  <w:style w:type="paragraph" w:styleId="Spistreci3">
    <w:name w:val="toc 3"/>
    <w:basedOn w:val="Normalny"/>
    <w:next w:val="Normalny"/>
    <w:autoRedefine/>
    <w:uiPriority w:val="39"/>
    <w:unhideWhenUsed/>
    <w:rsid w:val="00015CA7"/>
    <w:pPr>
      <w:spacing w:after="100" w:line="240" w:lineRule="auto"/>
      <w:ind w:left="480"/>
    </w:pPr>
    <w:rPr>
      <w:rFonts w:eastAsiaTheme="minorEastAsia" w:cs="Times New Roman"/>
      <w:sz w:val="24"/>
      <w:szCs w:val="24"/>
      <w:lang w:val="en-US" w:bidi="en-US"/>
    </w:rPr>
  </w:style>
  <w:style w:type="character" w:customStyle="1" w:styleId="Nagwek3Znak">
    <w:name w:val="Nagłówek 3 Znak"/>
    <w:basedOn w:val="Domylnaczcionkaakapitu"/>
    <w:link w:val="Nagwek3"/>
    <w:uiPriority w:val="9"/>
    <w:rsid w:val="003D5F5D"/>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8A183A"/>
    <w:pPr>
      <w:tabs>
        <w:tab w:val="center" w:pos="4536"/>
        <w:tab w:val="right" w:pos="9072"/>
      </w:tabs>
      <w:spacing w:line="240" w:lineRule="auto"/>
    </w:pPr>
  </w:style>
  <w:style w:type="character" w:customStyle="1" w:styleId="NagwekZnak">
    <w:name w:val="Nagłówek Znak"/>
    <w:basedOn w:val="Domylnaczcionkaakapitu"/>
    <w:link w:val="Nagwek"/>
    <w:uiPriority w:val="99"/>
    <w:rsid w:val="008A183A"/>
    <w:rPr>
      <w:rFonts w:ascii="Arial Narrow" w:hAnsi="Arial Narrow"/>
    </w:rPr>
  </w:style>
  <w:style w:type="paragraph" w:styleId="Stopka">
    <w:name w:val="footer"/>
    <w:basedOn w:val="Normalny"/>
    <w:link w:val="StopkaZnak"/>
    <w:uiPriority w:val="99"/>
    <w:unhideWhenUsed/>
    <w:rsid w:val="008A183A"/>
    <w:pPr>
      <w:tabs>
        <w:tab w:val="center" w:pos="4536"/>
        <w:tab w:val="right" w:pos="9072"/>
      </w:tabs>
      <w:spacing w:line="240" w:lineRule="auto"/>
    </w:pPr>
  </w:style>
  <w:style w:type="character" w:customStyle="1" w:styleId="StopkaZnak">
    <w:name w:val="Stopka Znak"/>
    <w:basedOn w:val="Domylnaczcionkaakapitu"/>
    <w:link w:val="Stopka"/>
    <w:uiPriority w:val="99"/>
    <w:rsid w:val="008A183A"/>
    <w:rPr>
      <w:rFonts w:ascii="Arial Narrow" w:hAnsi="Arial Narrow"/>
    </w:rPr>
  </w:style>
  <w:style w:type="table" w:styleId="Tabela-Siatka">
    <w:name w:val="Table Grid"/>
    <w:basedOn w:val="Standardowy"/>
    <w:uiPriority w:val="59"/>
    <w:rsid w:val="00BE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F65C84"/>
    <w:rPr>
      <w:color w:val="808080"/>
    </w:rPr>
  </w:style>
  <w:style w:type="paragraph" w:styleId="Tekstdymka">
    <w:name w:val="Balloon Text"/>
    <w:basedOn w:val="Normalny"/>
    <w:link w:val="TekstdymkaZnak"/>
    <w:uiPriority w:val="99"/>
    <w:semiHidden/>
    <w:unhideWhenUsed/>
    <w:rsid w:val="009115E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15EF"/>
    <w:rPr>
      <w:rFonts w:ascii="Segoe UI" w:hAnsi="Segoe UI" w:cs="Segoe UI"/>
      <w:sz w:val="18"/>
      <w:szCs w:val="18"/>
    </w:rPr>
  </w:style>
  <w:style w:type="character" w:styleId="UyteHipercze">
    <w:name w:val="FollowedHyperlink"/>
    <w:basedOn w:val="Domylnaczcionkaakapitu"/>
    <w:uiPriority w:val="99"/>
    <w:semiHidden/>
    <w:unhideWhenUsed/>
    <w:rsid w:val="006E2665"/>
    <w:rPr>
      <w:color w:val="800080"/>
      <w:u w:val="single"/>
    </w:rPr>
  </w:style>
  <w:style w:type="paragraph" w:customStyle="1" w:styleId="xl63">
    <w:name w:val="xl63"/>
    <w:basedOn w:val="Normalny"/>
    <w:rsid w:val="006E2665"/>
    <w:pPr>
      <w:pBdr>
        <w:bottom w:val="single" w:sz="8" w:space="0" w:color="auto"/>
        <w:right w:val="single" w:sz="8"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4">
    <w:name w:val="xl64"/>
    <w:basedOn w:val="Normalny"/>
    <w:rsid w:val="006E2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5">
    <w:name w:val="xl65"/>
    <w:basedOn w:val="Normalny"/>
    <w:rsid w:val="006E2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6">
    <w:name w:val="xl66"/>
    <w:basedOn w:val="Normalny"/>
    <w:rsid w:val="006E266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7">
    <w:name w:val="xl67"/>
    <w:basedOn w:val="Normalny"/>
    <w:rsid w:val="006E266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8">
    <w:name w:val="xl68"/>
    <w:basedOn w:val="Normalny"/>
    <w:rsid w:val="006E26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69">
    <w:name w:val="xl69"/>
    <w:basedOn w:val="Normalny"/>
    <w:rsid w:val="006E266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0">
    <w:name w:val="xl70"/>
    <w:basedOn w:val="Normalny"/>
    <w:rsid w:val="006E2665"/>
    <w:pPr>
      <w:pBdr>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1">
    <w:name w:val="xl71"/>
    <w:basedOn w:val="Normalny"/>
    <w:rsid w:val="006E2665"/>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2">
    <w:name w:val="xl72"/>
    <w:basedOn w:val="Normalny"/>
    <w:rsid w:val="006E2665"/>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3">
    <w:name w:val="xl73"/>
    <w:basedOn w:val="Normalny"/>
    <w:rsid w:val="006E2665"/>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4">
    <w:name w:val="xl74"/>
    <w:basedOn w:val="Normalny"/>
    <w:rsid w:val="006E2665"/>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5">
    <w:name w:val="xl75"/>
    <w:basedOn w:val="Normalny"/>
    <w:rsid w:val="006E2665"/>
    <w:pPr>
      <w:pBdr>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6">
    <w:name w:val="xl76"/>
    <w:basedOn w:val="Normalny"/>
    <w:rsid w:val="006E266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77">
    <w:name w:val="xl77"/>
    <w:basedOn w:val="Normalny"/>
    <w:rsid w:val="006E266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sz w:val="24"/>
      <w:szCs w:val="24"/>
      <w:lang w:eastAsia="pl-PL"/>
    </w:rPr>
  </w:style>
  <w:style w:type="paragraph" w:customStyle="1" w:styleId="xl78">
    <w:name w:val="xl78"/>
    <w:basedOn w:val="Normalny"/>
    <w:rsid w:val="006E2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sz w:val="24"/>
      <w:szCs w:val="24"/>
      <w:lang w:eastAsia="pl-PL"/>
    </w:rPr>
  </w:style>
  <w:style w:type="paragraph" w:customStyle="1" w:styleId="xl79">
    <w:name w:val="xl79"/>
    <w:basedOn w:val="Normalny"/>
    <w:rsid w:val="006E2665"/>
    <w:pPr>
      <w:pBdr>
        <w:top w:val="single" w:sz="4" w:space="0" w:color="auto"/>
        <w:left w:val="single" w:sz="4" w:space="0" w:color="auto"/>
        <w:bottom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80">
    <w:name w:val="xl80"/>
    <w:basedOn w:val="Normalny"/>
    <w:rsid w:val="006E2665"/>
    <w:pPr>
      <w:pBdr>
        <w:top w:val="single" w:sz="4" w:space="0" w:color="auto"/>
        <w:left w:val="single" w:sz="4" w:space="0" w:color="auto"/>
        <w:bottom w:val="single" w:sz="8"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81">
    <w:name w:val="xl81"/>
    <w:basedOn w:val="Normalny"/>
    <w:rsid w:val="006E2665"/>
    <w:pPr>
      <w:pBdr>
        <w:left w:val="single" w:sz="4" w:space="0" w:color="auto"/>
        <w:bottom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82">
    <w:name w:val="xl82"/>
    <w:basedOn w:val="Normalny"/>
    <w:rsid w:val="006E2665"/>
    <w:pPr>
      <w:pBdr>
        <w:top w:val="single" w:sz="4" w:space="0" w:color="auto"/>
        <w:left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83">
    <w:name w:val="xl83"/>
    <w:basedOn w:val="Normalny"/>
    <w:rsid w:val="006E2665"/>
    <w:pPr>
      <w:pBdr>
        <w:left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rsid w:val="006E2665"/>
    <w:pPr>
      <w:pBdr>
        <w:left w:val="single" w:sz="4" w:space="0" w:color="auto"/>
        <w:right w:val="single" w:sz="4" w:space="0" w:color="auto"/>
      </w:pBdr>
      <w:shd w:val="clear" w:color="000000" w:fill="F2DDDC"/>
      <w:spacing w:before="100" w:beforeAutospacing="1" w:after="100" w:afterAutospacing="1" w:line="240" w:lineRule="auto"/>
      <w:jc w:val="center"/>
      <w:textAlignment w:val="top"/>
    </w:pPr>
    <w:rPr>
      <w:rFonts w:eastAsia="Times New Roman" w:cs="Times New Roman"/>
      <w:sz w:val="24"/>
      <w:szCs w:val="24"/>
      <w:lang w:eastAsia="pl-PL"/>
    </w:rPr>
  </w:style>
  <w:style w:type="paragraph" w:customStyle="1" w:styleId="xl85">
    <w:name w:val="xl85"/>
    <w:basedOn w:val="Normalny"/>
    <w:rsid w:val="006E2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84708868">
      <w:bodyDiv w:val="1"/>
      <w:marLeft w:val="0"/>
      <w:marRight w:val="0"/>
      <w:marTop w:val="0"/>
      <w:marBottom w:val="0"/>
      <w:divBdr>
        <w:top w:val="none" w:sz="0" w:space="0" w:color="auto"/>
        <w:left w:val="none" w:sz="0" w:space="0" w:color="auto"/>
        <w:bottom w:val="none" w:sz="0" w:space="0" w:color="auto"/>
        <w:right w:val="none" w:sz="0" w:space="0" w:color="auto"/>
      </w:divBdr>
    </w:div>
    <w:div w:id="710345145">
      <w:bodyDiv w:val="1"/>
      <w:marLeft w:val="0"/>
      <w:marRight w:val="0"/>
      <w:marTop w:val="0"/>
      <w:marBottom w:val="0"/>
      <w:divBdr>
        <w:top w:val="none" w:sz="0" w:space="0" w:color="auto"/>
        <w:left w:val="none" w:sz="0" w:space="0" w:color="auto"/>
        <w:bottom w:val="none" w:sz="0" w:space="0" w:color="auto"/>
        <w:right w:val="none" w:sz="0" w:space="0" w:color="auto"/>
      </w:divBdr>
    </w:div>
    <w:div w:id="896621904">
      <w:bodyDiv w:val="1"/>
      <w:marLeft w:val="0"/>
      <w:marRight w:val="0"/>
      <w:marTop w:val="0"/>
      <w:marBottom w:val="0"/>
      <w:divBdr>
        <w:top w:val="none" w:sz="0" w:space="0" w:color="auto"/>
        <w:left w:val="none" w:sz="0" w:space="0" w:color="auto"/>
        <w:bottom w:val="none" w:sz="0" w:space="0" w:color="auto"/>
        <w:right w:val="none" w:sz="0" w:space="0" w:color="auto"/>
      </w:divBdr>
    </w:div>
    <w:div w:id="1117023487">
      <w:bodyDiv w:val="1"/>
      <w:marLeft w:val="0"/>
      <w:marRight w:val="0"/>
      <w:marTop w:val="0"/>
      <w:marBottom w:val="0"/>
      <w:divBdr>
        <w:top w:val="none" w:sz="0" w:space="0" w:color="auto"/>
        <w:left w:val="none" w:sz="0" w:space="0" w:color="auto"/>
        <w:bottom w:val="none" w:sz="0" w:space="0" w:color="auto"/>
        <w:right w:val="none" w:sz="0" w:space="0" w:color="auto"/>
      </w:divBdr>
    </w:div>
    <w:div w:id="16295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81C7-9596-488B-AD52-DFF76A94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Pages>
  <Words>2573</Words>
  <Characters>15438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IP IE</cp:lastModifiedBy>
  <cp:revision>92</cp:revision>
  <cp:lastPrinted>2024-08-09T19:12:00Z</cp:lastPrinted>
  <dcterms:created xsi:type="dcterms:W3CDTF">2021-12-15T13:32:00Z</dcterms:created>
  <dcterms:modified xsi:type="dcterms:W3CDTF">2024-08-09T19:12:00Z</dcterms:modified>
</cp:coreProperties>
</file>